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1541C" w14:textId="64D010CB" w:rsidR="00412EE6" w:rsidRDefault="00D73305">
      <w:r>
        <w:rPr>
          <w:noProof/>
        </w:rPr>
        <w:drawing>
          <wp:inline distT="0" distB="0" distL="0" distR="0" wp14:anchorId="1D2136DB" wp14:editId="738026A4">
            <wp:extent cx="6120765" cy="883285"/>
            <wp:effectExtent l="0" t="0" r="0" b="0"/>
            <wp:docPr id="3735977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97726" name=""/>
                    <pic:cNvPicPr/>
                  </pic:nvPicPr>
                  <pic:blipFill>
                    <a:blip r:embed="rId4"/>
                    <a:stretch>
                      <a:fillRect/>
                    </a:stretch>
                  </pic:blipFill>
                  <pic:spPr>
                    <a:xfrm>
                      <a:off x="0" y="0"/>
                      <a:ext cx="6120765" cy="883285"/>
                    </a:xfrm>
                    <a:prstGeom prst="rect">
                      <a:avLst/>
                    </a:prstGeom>
                  </pic:spPr>
                </pic:pic>
              </a:graphicData>
            </a:graphic>
          </wp:inline>
        </w:drawing>
      </w:r>
    </w:p>
    <w:p w14:paraId="31B7DD9F" w14:textId="77777777" w:rsidR="00D73305" w:rsidRPr="00D73305" w:rsidRDefault="00D73305" w:rsidP="00492281">
      <w:pPr>
        <w:jc w:val="center"/>
        <w:rPr>
          <w:rFonts w:ascii="宋体" w:eastAsia="宋体" w:hAnsi="宋体"/>
          <w:b/>
          <w:bCs/>
          <w:sz w:val="28"/>
          <w:szCs w:val="28"/>
        </w:rPr>
      </w:pPr>
      <w:r w:rsidRPr="00D73305">
        <w:rPr>
          <w:rFonts w:ascii="宋体" w:eastAsia="宋体" w:hAnsi="宋体"/>
          <w:b/>
          <w:bCs/>
          <w:sz w:val="28"/>
          <w:szCs w:val="28"/>
        </w:rPr>
        <w:t>关于印发《江苏省其他建设工程消防验收备案分类管理办法》的通知</w:t>
      </w:r>
    </w:p>
    <w:p w14:paraId="75BDE30B" w14:textId="3E64FCCE" w:rsidR="00D73305" w:rsidRPr="00D73305" w:rsidRDefault="00D73305" w:rsidP="00492281">
      <w:pPr>
        <w:jc w:val="center"/>
      </w:pPr>
      <w:r w:rsidRPr="00D73305">
        <w:rPr>
          <w:rFonts w:hint="eastAsia"/>
        </w:rPr>
        <w:t>苏建</w:t>
      </w:r>
      <w:proofErr w:type="gramStart"/>
      <w:r w:rsidRPr="00D73305">
        <w:rPr>
          <w:rFonts w:hint="eastAsia"/>
        </w:rPr>
        <w:t>规</w:t>
      </w:r>
      <w:proofErr w:type="gramEnd"/>
      <w:r w:rsidRPr="00D73305">
        <w:rPr>
          <w:rFonts w:hint="eastAsia"/>
        </w:rPr>
        <w:t>字</w:t>
      </w:r>
      <w:r w:rsidR="00492281">
        <w:rPr>
          <w:rFonts w:hint="eastAsia"/>
        </w:rPr>
        <w:t>[</w:t>
      </w:r>
      <w:r w:rsidRPr="00D73305">
        <w:rPr>
          <w:rFonts w:hint="eastAsia"/>
        </w:rPr>
        <w:t>2025</w:t>
      </w:r>
      <w:r w:rsidR="00492281">
        <w:rPr>
          <w:rFonts w:hint="eastAsia"/>
        </w:rPr>
        <w:t>]</w:t>
      </w:r>
      <w:r w:rsidRPr="00D73305">
        <w:rPr>
          <w:rFonts w:hint="eastAsia"/>
        </w:rPr>
        <w:t>6号</w:t>
      </w:r>
    </w:p>
    <w:p w14:paraId="10BC0560" w14:textId="77777777" w:rsidR="00D73305" w:rsidRPr="00D73305" w:rsidRDefault="00D73305" w:rsidP="00D73305">
      <w:pPr>
        <w:rPr>
          <w:rFonts w:hint="eastAsia"/>
        </w:rPr>
      </w:pPr>
    </w:p>
    <w:p w14:paraId="1826E867" w14:textId="7E686F53" w:rsidR="00D73305" w:rsidRPr="00D73305" w:rsidRDefault="00D73305" w:rsidP="00492281">
      <w:pPr>
        <w:rPr>
          <w:rFonts w:ascii="宋体" w:eastAsia="宋体" w:hAnsi="宋体" w:hint="eastAsia"/>
          <w:szCs w:val="21"/>
        </w:rPr>
      </w:pPr>
      <w:r w:rsidRPr="00D73305">
        <w:rPr>
          <w:rFonts w:ascii="宋体" w:eastAsia="宋体" w:hAnsi="宋体" w:hint="eastAsia"/>
          <w:szCs w:val="21"/>
        </w:rPr>
        <w:t>各设区市住房和城乡建设局</w:t>
      </w:r>
      <w:r w:rsidR="00492281" w:rsidRPr="00492281">
        <w:rPr>
          <w:rFonts w:ascii="宋体" w:eastAsia="宋体" w:hAnsi="宋体" w:hint="eastAsia"/>
          <w:szCs w:val="21"/>
        </w:rPr>
        <w:t>(</w:t>
      </w:r>
      <w:r w:rsidRPr="00D73305">
        <w:rPr>
          <w:rFonts w:ascii="宋体" w:eastAsia="宋体" w:hAnsi="宋体" w:hint="eastAsia"/>
          <w:szCs w:val="21"/>
        </w:rPr>
        <w:t>建委</w:t>
      </w:r>
      <w:r w:rsidR="00492281" w:rsidRPr="00492281">
        <w:rPr>
          <w:rFonts w:ascii="宋体" w:eastAsia="宋体" w:hAnsi="宋体" w:hint="eastAsia"/>
          <w:szCs w:val="21"/>
        </w:rPr>
        <w:t>)</w:t>
      </w:r>
      <w:r w:rsidRPr="00D73305">
        <w:rPr>
          <w:rFonts w:ascii="宋体" w:eastAsia="宋体" w:hAnsi="宋体" w:hint="eastAsia"/>
          <w:szCs w:val="21"/>
        </w:rPr>
        <w:t>：</w:t>
      </w:r>
    </w:p>
    <w:p w14:paraId="27AE778F"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为加强其他建设工程消防验收备案的分类管理，规范备案行为，压实参</w:t>
      </w:r>
      <w:proofErr w:type="gramStart"/>
      <w:r w:rsidRPr="00D73305">
        <w:rPr>
          <w:rFonts w:ascii="宋体" w:eastAsia="宋体" w:hAnsi="宋体" w:hint="eastAsia"/>
          <w:szCs w:val="21"/>
        </w:rPr>
        <w:t>建各方</w:t>
      </w:r>
      <w:proofErr w:type="gramEnd"/>
      <w:r w:rsidRPr="00D73305">
        <w:rPr>
          <w:rFonts w:ascii="宋体" w:eastAsia="宋体" w:hAnsi="宋体" w:hint="eastAsia"/>
          <w:szCs w:val="21"/>
        </w:rPr>
        <w:t>主体责任，保障消防设计、施工质量，实现精准化消防验收备案，我厅制定了《江苏省其他建设工程消防验收备案分类管理办法》，经2025年6月23日党组会议审议通过，于2025年10月1日起施行。</w:t>
      </w:r>
    </w:p>
    <w:p w14:paraId="49087332" w14:textId="4013D348" w:rsidR="00D73305" w:rsidRPr="00D73305" w:rsidRDefault="00D73305" w:rsidP="00492281">
      <w:pPr>
        <w:jc w:val="right"/>
        <w:rPr>
          <w:rFonts w:ascii="宋体" w:eastAsia="宋体" w:hAnsi="宋体" w:hint="eastAsia"/>
          <w:szCs w:val="21"/>
        </w:rPr>
      </w:pPr>
      <w:r w:rsidRPr="00D73305">
        <w:rPr>
          <w:rFonts w:ascii="宋体" w:eastAsia="宋体" w:hAnsi="宋体" w:hint="eastAsia"/>
          <w:szCs w:val="21"/>
        </w:rPr>
        <w:t>江苏省住房和城乡建设厅</w:t>
      </w:r>
    </w:p>
    <w:p w14:paraId="64382C7D" w14:textId="03DBAD69" w:rsidR="00D73305" w:rsidRPr="00D73305" w:rsidRDefault="00D73305" w:rsidP="00492281">
      <w:pPr>
        <w:jc w:val="right"/>
        <w:rPr>
          <w:rFonts w:ascii="宋体" w:eastAsia="宋体" w:hAnsi="宋体" w:hint="eastAsia"/>
          <w:szCs w:val="21"/>
        </w:rPr>
      </w:pPr>
      <w:r w:rsidRPr="00D73305">
        <w:rPr>
          <w:rFonts w:ascii="宋体" w:eastAsia="宋体" w:hAnsi="宋体" w:hint="eastAsia"/>
          <w:szCs w:val="21"/>
        </w:rPr>
        <w:t>2025年7月3日</w:t>
      </w:r>
    </w:p>
    <w:p w14:paraId="5A0FA3C1" w14:textId="77777777" w:rsidR="00D73305" w:rsidRPr="00D73305" w:rsidRDefault="00D73305" w:rsidP="00492281">
      <w:pPr>
        <w:rPr>
          <w:rFonts w:ascii="宋体" w:eastAsia="宋体" w:hAnsi="宋体" w:hint="eastAsia"/>
          <w:szCs w:val="21"/>
        </w:rPr>
      </w:pPr>
    </w:p>
    <w:p w14:paraId="250A15FB" w14:textId="77777777" w:rsidR="00D73305" w:rsidRPr="00D73305" w:rsidRDefault="00D73305" w:rsidP="00492281">
      <w:pPr>
        <w:jc w:val="center"/>
        <w:rPr>
          <w:rFonts w:ascii="宋体" w:eastAsia="宋体" w:hAnsi="宋体" w:hint="eastAsia"/>
          <w:szCs w:val="21"/>
        </w:rPr>
      </w:pPr>
      <w:r w:rsidRPr="00D73305">
        <w:rPr>
          <w:rFonts w:ascii="宋体" w:eastAsia="宋体" w:hAnsi="宋体" w:hint="eastAsia"/>
          <w:szCs w:val="21"/>
        </w:rPr>
        <w:t>江苏省其他建设工程消防验收备案分类管理办法</w:t>
      </w:r>
    </w:p>
    <w:p w14:paraId="285673EF" w14:textId="752CB8AF"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 xml:space="preserve">第一条 </w:t>
      </w:r>
      <w:r w:rsidR="00492281">
        <w:rPr>
          <w:rFonts w:ascii="宋体" w:eastAsia="宋体" w:hAnsi="宋体" w:hint="eastAsia"/>
          <w:szCs w:val="21"/>
        </w:rPr>
        <w:t xml:space="preserve"> </w:t>
      </w:r>
      <w:r w:rsidRPr="00D73305">
        <w:rPr>
          <w:rFonts w:ascii="宋体" w:eastAsia="宋体" w:hAnsi="宋体" w:hint="eastAsia"/>
          <w:szCs w:val="21"/>
        </w:rPr>
        <w:t>为加强其他建设工程消防验收备案的分类管理，规范备案行为，压实参</w:t>
      </w:r>
      <w:proofErr w:type="gramStart"/>
      <w:r w:rsidRPr="00D73305">
        <w:rPr>
          <w:rFonts w:ascii="宋体" w:eastAsia="宋体" w:hAnsi="宋体" w:hint="eastAsia"/>
          <w:szCs w:val="21"/>
        </w:rPr>
        <w:t>建各方</w:t>
      </w:r>
      <w:proofErr w:type="gramEnd"/>
      <w:r w:rsidRPr="00D73305">
        <w:rPr>
          <w:rFonts w:ascii="宋体" w:eastAsia="宋体" w:hAnsi="宋体" w:hint="eastAsia"/>
          <w:szCs w:val="21"/>
        </w:rPr>
        <w:t>主体责任，保障消防设计、施工质量，实现精准化消防验收备案，根据《中华人民共和国消防法》《江苏省消防条例》《建设工程消防设计审查验收管理暂行规定》等法律、法规、规章，制定本办法。</w:t>
      </w:r>
    </w:p>
    <w:p w14:paraId="17AA7018" w14:textId="4FB5F83A"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 xml:space="preserve">第二条 </w:t>
      </w:r>
      <w:r w:rsidR="00492281">
        <w:rPr>
          <w:rFonts w:ascii="宋体" w:eastAsia="宋体" w:hAnsi="宋体" w:hint="eastAsia"/>
          <w:szCs w:val="21"/>
        </w:rPr>
        <w:t xml:space="preserve"> </w:t>
      </w:r>
      <w:r w:rsidRPr="00D73305">
        <w:rPr>
          <w:rFonts w:ascii="宋体" w:eastAsia="宋体" w:hAnsi="宋体" w:hint="eastAsia"/>
          <w:szCs w:val="21"/>
        </w:rPr>
        <w:t>本办法适用于本省行政区域内新建、改建、扩建</w:t>
      </w:r>
      <w:r w:rsidR="00492281" w:rsidRPr="00492281">
        <w:rPr>
          <w:rFonts w:ascii="宋体" w:eastAsia="宋体" w:hAnsi="宋体" w:hint="eastAsia"/>
          <w:szCs w:val="21"/>
        </w:rPr>
        <w:t>(</w:t>
      </w:r>
      <w:r w:rsidRPr="00D73305">
        <w:rPr>
          <w:rFonts w:ascii="宋体" w:eastAsia="宋体" w:hAnsi="宋体" w:hint="eastAsia"/>
          <w:szCs w:val="21"/>
        </w:rPr>
        <w:t>含内部装修</w:t>
      </w:r>
      <w:r w:rsidR="00492281" w:rsidRPr="00492281">
        <w:rPr>
          <w:rFonts w:ascii="宋体" w:eastAsia="宋体" w:hAnsi="宋体" w:hint="eastAsia"/>
          <w:szCs w:val="21"/>
        </w:rPr>
        <w:t>)</w:t>
      </w:r>
      <w:r w:rsidRPr="00D73305">
        <w:rPr>
          <w:rFonts w:ascii="宋体" w:eastAsia="宋体" w:hAnsi="宋体" w:hint="eastAsia"/>
          <w:szCs w:val="21"/>
        </w:rPr>
        <w:t>的其他建设工程消防验收备案分类管理。</w:t>
      </w:r>
    </w:p>
    <w:p w14:paraId="009AFB26" w14:textId="13009D38"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 xml:space="preserve">第三条 </w:t>
      </w:r>
      <w:r w:rsidR="00492281">
        <w:rPr>
          <w:rFonts w:ascii="宋体" w:eastAsia="宋体" w:hAnsi="宋体" w:hint="eastAsia"/>
          <w:szCs w:val="21"/>
        </w:rPr>
        <w:t xml:space="preserve"> </w:t>
      </w:r>
      <w:r w:rsidRPr="00D73305">
        <w:rPr>
          <w:rFonts w:ascii="宋体" w:eastAsia="宋体" w:hAnsi="宋体" w:hint="eastAsia"/>
          <w:szCs w:val="21"/>
        </w:rPr>
        <w:t>省级住房和城乡建设主管部门负责指导全省范围内其他建设工程消防验收备案分类管理工作。设区的市、县</w:t>
      </w:r>
      <w:r w:rsidR="00492281" w:rsidRPr="00492281">
        <w:rPr>
          <w:rFonts w:ascii="宋体" w:eastAsia="宋体" w:hAnsi="宋体" w:hint="eastAsia"/>
          <w:szCs w:val="21"/>
        </w:rPr>
        <w:t>(</w:t>
      </w:r>
      <w:r w:rsidRPr="00D73305">
        <w:rPr>
          <w:rFonts w:ascii="宋体" w:eastAsia="宋体" w:hAnsi="宋体" w:hint="eastAsia"/>
          <w:szCs w:val="21"/>
        </w:rPr>
        <w:t>市、区</w:t>
      </w:r>
      <w:r w:rsidR="00492281" w:rsidRPr="00492281">
        <w:rPr>
          <w:rFonts w:ascii="宋体" w:eastAsia="宋体" w:hAnsi="宋体" w:hint="eastAsia"/>
          <w:szCs w:val="21"/>
        </w:rPr>
        <w:t>)</w:t>
      </w:r>
      <w:r w:rsidRPr="00D73305">
        <w:rPr>
          <w:rFonts w:ascii="宋体" w:eastAsia="宋体" w:hAnsi="宋体" w:hint="eastAsia"/>
          <w:szCs w:val="21"/>
        </w:rPr>
        <w:t>住房和城乡建设主管部门依职责承担本行政区域内其他建设工程消防验收备案分类管理。</w:t>
      </w:r>
    </w:p>
    <w:p w14:paraId="54A19DA5" w14:textId="199C2026"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 xml:space="preserve">第四条 </w:t>
      </w:r>
      <w:r w:rsidR="00492281">
        <w:rPr>
          <w:rFonts w:ascii="宋体" w:eastAsia="宋体" w:hAnsi="宋体" w:hint="eastAsia"/>
          <w:szCs w:val="21"/>
        </w:rPr>
        <w:t xml:space="preserve"> </w:t>
      </w:r>
      <w:r w:rsidRPr="00D73305">
        <w:rPr>
          <w:rFonts w:ascii="宋体" w:eastAsia="宋体" w:hAnsi="宋体" w:hint="eastAsia"/>
          <w:szCs w:val="21"/>
        </w:rPr>
        <w:t>根据建筑所在区域环境、建筑使用功能、建筑规模和高度、建筑耐火等级、疏散能力、消防设施设备配置水平等因素，将其他建设工程分为重点项目和一般项目。</w:t>
      </w:r>
    </w:p>
    <w:p w14:paraId="5729AFAA"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重点项目是指火灾危险性相对较高的其他建设工程，一般项目是</w:t>
      </w:r>
      <w:proofErr w:type="gramStart"/>
      <w:r w:rsidRPr="00D73305">
        <w:rPr>
          <w:rFonts w:ascii="宋体" w:eastAsia="宋体" w:hAnsi="宋体" w:hint="eastAsia"/>
          <w:szCs w:val="21"/>
        </w:rPr>
        <w:t>指重点</w:t>
      </w:r>
      <w:proofErr w:type="gramEnd"/>
      <w:r w:rsidRPr="00D73305">
        <w:rPr>
          <w:rFonts w:ascii="宋体" w:eastAsia="宋体" w:hAnsi="宋体" w:hint="eastAsia"/>
          <w:szCs w:val="21"/>
        </w:rPr>
        <w:t>项目以外的其他建设工程。具体划分标准详见其他建设工程分类管理目录清单。</w:t>
      </w:r>
    </w:p>
    <w:p w14:paraId="7544E133" w14:textId="158A0B21"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 xml:space="preserve">第五条 </w:t>
      </w:r>
      <w:r w:rsidR="00492281">
        <w:rPr>
          <w:rFonts w:ascii="宋体" w:eastAsia="宋体" w:hAnsi="宋体" w:hint="eastAsia"/>
          <w:szCs w:val="21"/>
        </w:rPr>
        <w:t xml:space="preserve"> </w:t>
      </w:r>
      <w:r w:rsidRPr="00D73305">
        <w:rPr>
          <w:rFonts w:ascii="宋体" w:eastAsia="宋体" w:hAnsi="宋体" w:hint="eastAsia"/>
          <w:szCs w:val="21"/>
        </w:rPr>
        <w:t>其他建设工程竣工验收合格之日起五个工作日内，建设单位应当报住房和城乡建设主管部门备案。</w:t>
      </w:r>
    </w:p>
    <w:p w14:paraId="6E805690" w14:textId="6BD9A2BD"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第六条</w:t>
      </w:r>
      <w:r w:rsidR="00492281">
        <w:rPr>
          <w:rFonts w:ascii="宋体" w:eastAsia="宋体" w:hAnsi="宋体" w:hint="eastAsia"/>
          <w:szCs w:val="21"/>
        </w:rPr>
        <w:t xml:space="preserve"> </w:t>
      </w:r>
      <w:r w:rsidRPr="00D73305">
        <w:rPr>
          <w:rFonts w:ascii="宋体" w:eastAsia="宋体" w:hAnsi="宋体" w:hint="eastAsia"/>
          <w:szCs w:val="21"/>
        </w:rPr>
        <w:t xml:space="preserve"> 住房和城乡建设主管部门收到建设单位提交的备案材料后，对材料齐全的，应当出具备案凭证；材料不齐全的，应当一次性告知需要补正的全部内容。</w:t>
      </w:r>
    </w:p>
    <w:p w14:paraId="4C85C806" w14:textId="17451DE1"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 xml:space="preserve">第七条 </w:t>
      </w:r>
      <w:r w:rsidR="00492281">
        <w:rPr>
          <w:rFonts w:ascii="宋体" w:eastAsia="宋体" w:hAnsi="宋体" w:hint="eastAsia"/>
          <w:szCs w:val="21"/>
        </w:rPr>
        <w:t xml:space="preserve"> </w:t>
      </w:r>
      <w:r w:rsidRPr="00D73305">
        <w:rPr>
          <w:rFonts w:ascii="宋体" w:eastAsia="宋体" w:hAnsi="宋体" w:hint="eastAsia"/>
          <w:szCs w:val="21"/>
        </w:rPr>
        <w:t>一般项目可以采用告知承诺制方式申请备案，所在地住房和城乡建设主管部门依据建设单位提交的承诺书出具备案凭证。</w:t>
      </w:r>
    </w:p>
    <w:p w14:paraId="435775CE"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涉及建筑主体和承重结构变动的一般项目，不适用于告知承诺制。</w:t>
      </w:r>
    </w:p>
    <w:p w14:paraId="0D4F41B2" w14:textId="519805E5"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 xml:space="preserve">第八条 </w:t>
      </w:r>
      <w:r w:rsidR="00492281">
        <w:rPr>
          <w:rFonts w:ascii="宋体" w:eastAsia="宋体" w:hAnsi="宋体" w:hint="eastAsia"/>
          <w:szCs w:val="21"/>
        </w:rPr>
        <w:t xml:space="preserve"> </w:t>
      </w:r>
      <w:r w:rsidRPr="00D73305">
        <w:rPr>
          <w:rFonts w:ascii="宋体" w:eastAsia="宋体" w:hAnsi="宋体" w:hint="eastAsia"/>
          <w:szCs w:val="21"/>
        </w:rPr>
        <w:t>依法需要取得施工许可的一般项目，采用告知承诺制方式申请备案的，鼓励建设单位委托具备相应能力的消防审验技术服务机构开展消防查验，并出具消防查验意见或报告；依法不需要取得施工许可的一般项目，可以由责任工程师协助建设单位开展消防查验。</w:t>
      </w:r>
    </w:p>
    <w:p w14:paraId="349805AF" w14:textId="50271521"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 xml:space="preserve">第九条 </w:t>
      </w:r>
      <w:r w:rsidR="00492281">
        <w:rPr>
          <w:rFonts w:ascii="宋体" w:eastAsia="宋体" w:hAnsi="宋体" w:hint="eastAsia"/>
          <w:szCs w:val="21"/>
        </w:rPr>
        <w:t xml:space="preserve"> </w:t>
      </w:r>
      <w:r w:rsidRPr="00D73305">
        <w:rPr>
          <w:rFonts w:ascii="宋体" w:eastAsia="宋体" w:hAnsi="宋体" w:hint="eastAsia"/>
          <w:szCs w:val="21"/>
        </w:rPr>
        <w:t>住房和城乡建设主管部门应当对备案的其他建设工程进行抽查，加强对重点项目的抽查，抽查比例详见其他建设工程分类管理目录清单。抽查工作推行“双随机、</w:t>
      </w:r>
      <w:proofErr w:type="gramStart"/>
      <w:r w:rsidRPr="00D73305">
        <w:rPr>
          <w:rFonts w:ascii="宋体" w:eastAsia="宋体" w:hAnsi="宋体" w:hint="eastAsia"/>
          <w:szCs w:val="21"/>
        </w:rPr>
        <w:t>一</w:t>
      </w:r>
      <w:proofErr w:type="gramEnd"/>
      <w:r w:rsidRPr="00D73305">
        <w:rPr>
          <w:rFonts w:ascii="宋体" w:eastAsia="宋体" w:hAnsi="宋体" w:hint="eastAsia"/>
          <w:szCs w:val="21"/>
        </w:rPr>
        <w:t>公开”制度，随机抽取检查对象，随机选派检查人员。</w:t>
      </w:r>
    </w:p>
    <w:p w14:paraId="471ED102" w14:textId="06628542"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lastRenderedPageBreak/>
        <w:t xml:space="preserve">第十条 </w:t>
      </w:r>
      <w:r w:rsidR="00492281">
        <w:rPr>
          <w:rFonts w:ascii="宋体" w:eastAsia="宋体" w:hAnsi="宋体" w:hint="eastAsia"/>
          <w:szCs w:val="21"/>
        </w:rPr>
        <w:t xml:space="preserve"> </w:t>
      </w:r>
      <w:r w:rsidRPr="00D73305">
        <w:rPr>
          <w:rFonts w:ascii="宋体" w:eastAsia="宋体" w:hAnsi="宋体" w:hint="eastAsia"/>
          <w:szCs w:val="21"/>
        </w:rPr>
        <w:t>采用告知承诺制方式申请备案的一般项目，住房和城乡建设主管部门应当自其被确定为检查对象之日起三个工作日内完成检查。检查结果应当通知建设单位，并向社会公示。</w:t>
      </w:r>
    </w:p>
    <w:p w14:paraId="044509AE" w14:textId="0C9EE888"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第十一条</w:t>
      </w:r>
      <w:r w:rsidR="00492281">
        <w:rPr>
          <w:rFonts w:ascii="宋体" w:eastAsia="宋体" w:hAnsi="宋体" w:hint="eastAsia"/>
          <w:szCs w:val="21"/>
        </w:rPr>
        <w:t xml:space="preserve"> </w:t>
      </w:r>
      <w:r w:rsidRPr="00D73305">
        <w:rPr>
          <w:rFonts w:ascii="宋体" w:eastAsia="宋体" w:hAnsi="宋体" w:hint="eastAsia"/>
          <w:szCs w:val="21"/>
        </w:rPr>
        <w:t xml:space="preserve"> 消防验收备案分类管理目录清单由省级住房和城乡建设主管部门实行统一动态管理，并向社会公示。</w:t>
      </w:r>
    </w:p>
    <w:p w14:paraId="6791046B"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设区市住房和城乡建设主管部门可以结合本地实际情况，报省级住房和城乡建设主管部门审核同意后，适当调整特定类别项目的抽查比例。</w:t>
      </w:r>
    </w:p>
    <w:p w14:paraId="41635D27" w14:textId="474B5BAF"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 xml:space="preserve">第十二条 </w:t>
      </w:r>
      <w:r w:rsidR="00492281">
        <w:rPr>
          <w:rFonts w:ascii="宋体" w:eastAsia="宋体" w:hAnsi="宋体" w:hint="eastAsia"/>
          <w:szCs w:val="21"/>
        </w:rPr>
        <w:t xml:space="preserve"> </w:t>
      </w:r>
      <w:r w:rsidRPr="00D73305">
        <w:rPr>
          <w:rFonts w:ascii="宋体" w:eastAsia="宋体" w:hAnsi="宋体" w:hint="eastAsia"/>
          <w:szCs w:val="21"/>
        </w:rPr>
        <w:t>其他建设工程经抽查不合格的，应当停止使用，不停止使用的，依法予以行政处罚。整改完成后，建设单位向住房和城乡建设主管部门申请复查。</w:t>
      </w:r>
    </w:p>
    <w:p w14:paraId="1BF98AAB"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住房和城乡建设主管部门应当自收到书面申请之日起五个工作日内进行复查，并出具复查意见。复查合格后，方可使用。</w:t>
      </w:r>
    </w:p>
    <w:p w14:paraId="4F49925E" w14:textId="31091DD8"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第十三条</w:t>
      </w:r>
      <w:r w:rsidR="00492281">
        <w:rPr>
          <w:rFonts w:ascii="宋体" w:eastAsia="宋体" w:hAnsi="宋体" w:hint="eastAsia"/>
          <w:szCs w:val="21"/>
        </w:rPr>
        <w:t xml:space="preserve"> </w:t>
      </w:r>
      <w:r w:rsidRPr="00D73305">
        <w:rPr>
          <w:rFonts w:ascii="宋体" w:eastAsia="宋体" w:hAnsi="宋体" w:hint="eastAsia"/>
          <w:szCs w:val="21"/>
        </w:rPr>
        <w:t xml:space="preserve"> 一般项目采用告知承诺制方式申请备案，现场检查不合格的，建设单位应当停止使用并组织整改，整改期限为五个工作日。存在弄虚作假行为的，对有关单位和个人依法予以行政处罚；构成犯罪的，依法追究刑事责任。</w:t>
      </w:r>
    </w:p>
    <w:p w14:paraId="54810E98" w14:textId="45CAB612"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 xml:space="preserve">第十四条 </w:t>
      </w:r>
      <w:r w:rsidR="00492281">
        <w:rPr>
          <w:rFonts w:ascii="宋体" w:eastAsia="宋体" w:hAnsi="宋体" w:hint="eastAsia"/>
          <w:szCs w:val="21"/>
        </w:rPr>
        <w:t xml:space="preserve"> </w:t>
      </w:r>
      <w:r w:rsidRPr="00D73305">
        <w:rPr>
          <w:rFonts w:ascii="宋体" w:eastAsia="宋体" w:hAnsi="宋体" w:hint="eastAsia"/>
          <w:szCs w:val="21"/>
        </w:rPr>
        <w:t>本办法用语含义：</w:t>
      </w:r>
    </w:p>
    <w:p w14:paraId="7619AD04" w14:textId="4823DECA" w:rsidR="00D73305" w:rsidRPr="00D73305" w:rsidRDefault="00492281" w:rsidP="00492281">
      <w:pPr>
        <w:ind w:firstLineChars="200" w:firstLine="420"/>
        <w:rPr>
          <w:rFonts w:ascii="宋体" w:eastAsia="宋体" w:hAnsi="宋体" w:hint="eastAsia"/>
          <w:szCs w:val="21"/>
        </w:rPr>
      </w:pPr>
      <w:r w:rsidRPr="00492281">
        <w:rPr>
          <w:rFonts w:ascii="宋体" w:eastAsia="宋体" w:hAnsi="宋体" w:hint="eastAsia"/>
          <w:szCs w:val="21"/>
        </w:rPr>
        <w:t>(</w:t>
      </w:r>
      <w:proofErr w:type="gramStart"/>
      <w:r w:rsidR="00D73305" w:rsidRPr="00D73305">
        <w:rPr>
          <w:rFonts w:ascii="宋体" w:eastAsia="宋体" w:hAnsi="宋体" w:hint="eastAsia"/>
          <w:szCs w:val="21"/>
        </w:rPr>
        <w:t>一</w:t>
      </w:r>
      <w:proofErr w:type="gramEnd"/>
      <w:r w:rsidRPr="00492281">
        <w:rPr>
          <w:rFonts w:ascii="宋体" w:eastAsia="宋体" w:hAnsi="宋体" w:hint="eastAsia"/>
          <w:szCs w:val="21"/>
        </w:rPr>
        <w:t>)</w:t>
      </w:r>
      <w:r w:rsidR="00D73305" w:rsidRPr="00D73305">
        <w:rPr>
          <w:rFonts w:ascii="宋体" w:eastAsia="宋体" w:hAnsi="宋体" w:hint="eastAsia"/>
          <w:szCs w:val="21"/>
        </w:rPr>
        <w:t>其他建设工程，是指特殊建设工程以外的其他按照国家工程建设消防技术标准需要进行消防设计的建设工程。</w:t>
      </w:r>
    </w:p>
    <w:p w14:paraId="520F5D73" w14:textId="209CD690" w:rsidR="00D73305" w:rsidRPr="00D73305" w:rsidRDefault="00492281" w:rsidP="00492281">
      <w:pPr>
        <w:ind w:firstLineChars="200" w:firstLine="420"/>
        <w:rPr>
          <w:rFonts w:ascii="宋体" w:eastAsia="宋体" w:hAnsi="宋体" w:hint="eastAsia"/>
          <w:szCs w:val="21"/>
        </w:rPr>
      </w:pPr>
      <w:r w:rsidRPr="00492281">
        <w:rPr>
          <w:rFonts w:ascii="宋体" w:eastAsia="宋体" w:hAnsi="宋体" w:hint="eastAsia"/>
          <w:szCs w:val="21"/>
        </w:rPr>
        <w:t>(</w:t>
      </w:r>
      <w:r w:rsidR="00D73305" w:rsidRPr="00D73305">
        <w:rPr>
          <w:rFonts w:ascii="宋体" w:eastAsia="宋体" w:hAnsi="宋体" w:hint="eastAsia"/>
          <w:szCs w:val="21"/>
        </w:rPr>
        <w:t>二</w:t>
      </w:r>
      <w:r w:rsidRPr="00492281">
        <w:rPr>
          <w:rFonts w:ascii="宋体" w:eastAsia="宋体" w:hAnsi="宋体" w:hint="eastAsia"/>
          <w:szCs w:val="21"/>
        </w:rPr>
        <w:t>)</w:t>
      </w:r>
      <w:r w:rsidR="00D73305" w:rsidRPr="00D73305">
        <w:rPr>
          <w:rFonts w:ascii="宋体" w:eastAsia="宋体" w:hAnsi="宋体" w:hint="eastAsia"/>
          <w:szCs w:val="21"/>
        </w:rPr>
        <w:t>特殊建设工程，是指具有下列情形之一的建设工程：</w:t>
      </w:r>
    </w:p>
    <w:p w14:paraId="3280ED4E"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1.总建筑面积大于20000平方米的体育场馆、会堂，公共展览馆、博物馆的展示厅；</w:t>
      </w:r>
    </w:p>
    <w:p w14:paraId="171C8BBA"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2.总建筑面积大于15000平方米的民用机场航站楼、客运车站候车室、客运码头候船厅；</w:t>
      </w:r>
    </w:p>
    <w:p w14:paraId="3D290F80"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3.总建筑面积大于10000平方米的宾馆、饭店、商场、市场；</w:t>
      </w:r>
    </w:p>
    <w:p w14:paraId="6B446C6D"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4.总建筑面积大于2500平方米的影剧院，公共图书馆的阅览室，营业性室内健身、休闲场馆，医院的门诊楼，大学的教学楼、图书馆、食堂，劳动密集型企业的生产加工车间，寺庙、教堂；</w:t>
      </w:r>
    </w:p>
    <w:p w14:paraId="3B008404"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5.总建筑面积大于1000平方米的托儿所、幼儿园的儿童用房，儿童游乐厅等室内儿童活动场所，养老院、福利院，医院、疗养院的病房楼，中小学校的教学楼、图书馆、食堂，学校的集体宿舍，劳动密集型企业的员工集体宿舍；</w:t>
      </w:r>
    </w:p>
    <w:p w14:paraId="1DD54F05"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6.总建筑面积大于500平方米的歌舞厅、录像厅、放映厅、卡拉OK厅、夜总会、游艺厅、桑拿浴室、网吧、酒吧，具有娱乐功能的餐馆、茶馆、咖啡厅；</w:t>
      </w:r>
    </w:p>
    <w:p w14:paraId="1B4523D2"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7.国家工程建设消防技术标准规定的一类高层住宅建筑；</w:t>
      </w:r>
    </w:p>
    <w:p w14:paraId="467C0130"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8.城市轨道交通、隧道工程，大型发电、变配电工程；</w:t>
      </w:r>
    </w:p>
    <w:p w14:paraId="1E46565F"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9.生产、储存、装卸易燃易爆危险物品的工厂、仓库和专用车站、码头，易燃易爆气体和液体的充装站、供应站、调压站；</w:t>
      </w:r>
    </w:p>
    <w:p w14:paraId="0B6C3C61"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10.国家机关办公楼、电力调度楼、电信楼、邮政楼、防灾指挥调度楼、广播电视楼、档案楼；</w:t>
      </w:r>
    </w:p>
    <w:p w14:paraId="5254FBC0"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11.设有本条第一项至第六项所列情形的建设工程；</w:t>
      </w:r>
    </w:p>
    <w:p w14:paraId="214ADC87" w14:textId="77777777"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12.本条第十项、第十一项规定以外的单体建筑面积大于四万平方米或者建筑高度超过50米的公共建筑。</w:t>
      </w:r>
    </w:p>
    <w:p w14:paraId="4FFAF079" w14:textId="1FD45F52" w:rsidR="00D73305" w:rsidRPr="00D73305" w:rsidRDefault="00492281" w:rsidP="00492281">
      <w:pPr>
        <w:ind w:firstLineChars="200" w:firstLine="420"/>
        <w:rPr>
          <w:rFonts w:ascii="宋体" w:eastAsia="宋体" w:hAnsi="宋体" w:hint="eastAsia"/>
          <w:szCs w:val="21"/>
        </w:rPr>
      </w:pPr>
      <w:r w:rsidRPr="00492281">
        <w:rPr>
          <w:rFonts w:ascii="宋体" w:eastAsia="宋体" w:hAnsi="宋体" w:hint="eastAsia"/>
          <w:szCs w:val="21"/>
        </w:rPr>
        <w:t>(</w:t>
      </w:r>
      <w:r w:rsidR="00D73305" w:rsidRPr="00D73305">
        <w:rPr>
          <w:rFonts w:ascii="宋体" w:eastAsia="宋体" w:hAnsi="宋体" w:hint="eastAsia"/>
          <w:szCs w:val="21"/>
        </w:rPr>
        <w:t>三</w:t>
      </w:r>
      <w:r w:rsidRPr="00492281">
        <w:rPr>
          <w:rFonts w:ascii="宋体" w:eastAsia="宋体" w:hAnsi="宋体" w:hint="eastAsia"/>
          <w:szCs w:val="21"/>
        </w:rPr>
        <w:t>)</w:t>
      </w:r>
      <w:r w:rsidR="00D73305" w:rsidRPr="00D73305">
        <w:rPr>
          <w:rFonts w:ascii="宋体" w:eastAsia="宋体" w:hAnsi="宋体" w:hint="eastAsia"/>
          <w:szCs w:val="21"/>
        </w:rPr>
        <w:t>建筑主体，是指建筑实体的结构构造，包括屋盖、楼盖、梁、柱、支撑、墙体、连接接点和基础等。</w:t>
      </w:r>
    </w:p>
    <w:p w14:paraId="68E82C18" w14:textId="5277D86B" w:rsidR="00D73305" w:rsidRPr="00D73305" w:rsidRDefault="00492281" w:rsidP="00492281">
      <w:pPr>
        <w:ind w:firstLineChars="200" w:firstLine="420"/>
        <w:rPr>
          <w:rFonts w:ascii="宋体" w:eastAsia="宋体" w:hAnsi="宋体" w:hint="eastAsia"/>
          <w:szCs w:val="21"/>
        </w:rPr>
      </w:pPr>
      <w:r w:rsidRPr="00492281">
        <w:rPr>
          <w:rFonts w:ascii="宋体" w:eastAsia="宋体" w:hAnsi="宋体" w:hint="eastAsia"/>
          <w:szCs w:val="21"/>
        </w:rPr>
        <w:t>(</w:t>
      </w:r>
      <w:r w:rsidR="00D73305" w:rsidRPr="00D73305">
        <w:rPr>
          <w:rFonts w:ascii="宋体" w:eastAsia="宋体" w:hAnsi="宋体" w:hint="eastAsia"/>
          <w:szCs w:val="21"/>
        </w:rPr>
        <w:t>四</w:t>
      </w:r>
      <w:r w:rsidRPr="00492281">
        <w:rPr>
          <w:rFonts w:ascii="宋体" w:eastAsia="宋体" w:hAnsi="宋体" w:hint="eastAsia"/>
          <w:szCs w:val="21"/>
        </w:rPr>
        <w:t>)</w:t>
      </w:r>
      <w:r w:rsidR="00D73305" w:rsidRPr="00D73305">
        <w:rPr>
          <w:rFonts w:ascii="宋体" w:eastAsia="宋体" w:hAnsi="宋体" w:hint="eastAsia"/>
          <w:szCs w:val="21"/>
        </w:rPr>
        <w:t>承重结构，是指直接将本身自重与各种外加作用力系统地传递给基础地基的主要结构构件和其连接节点，包括承重墙体、立杆、柱、框架柱、支墩、楼板、梁、屋架、悬索等。</w:t>
      </w:r>
    </w:p>
    <w:p w14:paraId="2DF08244" w14:textId="411F3F4E" w:rsidR="00D73305" w:rsidRPr="00D73305" w:rsidRDefault="00D73305" w:rsidP="00492281">
      <w:pPr>
        <w:ind w:firstLineChars="200" w:firstLine="420"/>
        <w:rPr>
          <w:rFonts w:ascii="宋体" w:eastAsia="宋体" w:hAnsi="宋体" w:hint="eastAsia"/>
          <w:szCs w:val="21"/>
        </w:rPr>
      </w:pPr>
      <w:r w:rsidRPr="00D73305">
        <w:rPr>
          <w:rFonts w:ascii="宋体" w:eastAsia="宋体" w:hAnsi="宋体" w:hint="eastAsia"/>
          <w:szCs w:val="21"/>
        </w:rPr>
        <w:t xml:space="preserve">第十五条 </w:t>
      </w:r>
      <w:r w:rsidR="00492281">
        <w:rPr>
          <w:rFonts w:ascii="宋体" w:eastAsia="宋体" w:hAnsi="宋体" w:hint="eastAsia"/>
          <w:szCs w:val="21"/>
        </w:rPr>
        <w:t xml:space="preserve"> </w:t>
      </w:r>
      <w:r w:rsidRPr="00D73305">
        <w:rPr>
          <w:rFonts w:ascii="宋体" w:eastAsia="宋体" w:hAnsi="宋体" w:hint="eastAsia"/>
          <w:szCs w:val="21"/>
        </w:rPr>
        <w:t>本办法自2025年10月1日起施行，有效期至2030年9月30日。</w:t>
      </w:r>
    </w:p>
    <w:p w14:paraId="7B42B764" w14:textId="7FC38C70" w:rsidR="00D73305" w:rsidRPr="00D73305" w:rsidRDefault="00D73305" w:rsidP="00492281">
      <w:pPr>
        <w:ind w:firstLineChars="200" w:firstLine="420"/>
        <w:rPr>
          <w:rFonts w:ascii="宋体" w:eastAsia="宋体" w:hAnsi="宋体" w:hint="eastAsia"/>
          <w:szCs w:val="21"/>
        </w:rPr>
      </w:pPr>
      <w:hyperlink r:id="rId5" w:history="1">
        <w:r w:rsidRPr="00492281">
          <w:rPr>
            <w:rStyle w:val="ae"/>
            <w:rFonts w:ascii="宋体" w:eastAsia="宋体" w:hAnsi="宋体" w:hint="eastAsia"/>
            <w:szCs w:val="21"/>
          </w:rPr>
          <w:drawing>
            <wp:inline distT="0" distB="0" distL="0" distR="0" wp14:anchorId="1DCF3884" wp14:editId="7E50E08D">
              <wp:extent cx="152400" cy="152400"/>
              <wp:effectExtent l="0" t="0" r="0" b="0"/>
              <wp:docPr id="1665250490" name="图片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73305">
          <w:rPr>
            <w:rStyle w:val="ae"/>
            <w:rFonts w:ascii="宋体" w:eastAsia="宋体" w:hAnsi="宋体" w:hint="eastAsia"/>
            <w:szCs w:val="21"/>
          </w:rPr>
          <w:t>附件：其他建设工程分类管理目录清单.docx</w:t>
        </w:r>
      </w:hyperlink>
    </w:p>
    <w:p w14:paraId="07BC4062" w14:textId="77777777" w:rsidR="00D73305" w:rsidRPr="00492281" w:rsidRDefault="00D73305" w:rsidP="00492281">
      <w:pPr>
        <w:rPr>
          <w:rFonts w:ascii="宋体" w:eastAsia="宋体" w:hAnsi="宋体"/>
          <w:szCs w:val="21"/>
        </w:rPr>
      </w:pPr>
    </w:p>
    <w:p w14:paraId="168CE5E0" w14:textId="77777777" w:rsidR="00D73305" w:rsidRPr="00492281" w:rsidRDefault="00D73305" w:rsidP="00492281">
      <w:pPr>
        <w:adjustRightInd w:val="0"/>
        <w:ind w:firstLineChars="200" w:firstLine="420"/>
        <w:rPr>
          <w:rFonts w:ascii="宋体" w:eastAsia="宋体" w:hAnsi="宋体"/>
          <w:szCs w:val="21"/>
        </w:rPr>
      </w:pPr>
      <w:r w:rsidRPr="00492281">
        <w:rPr>
          <w:rFonts w:ascii="宋体" w:eastAsia="宋体" w:hAnsi="宋体" w:hint="eastAsia"/>
          <w:szCs w:val="21"/>
          <w:lang w:bidi="ar"/>
        </w:rPr>
        <w:t>附件</w:t>
      </w:r>
    </w:p>
    <w:p w14:paraId="6C7D4C9C" w14:textId="0CB798C6" w:rsidR="00D73305" w:rsidRPr="00492281" w:rsidRDefault="00D73305" w:rsidP="00492281">
      <w:pPr>
        <w:adjustRightInd w:val="0"/>
        <w:ind w:firstLineChars="200" w:firstLine="420"/>
        <w:jc w:val="center"/>
        <w:rPr>
          <w:rFonts w:ascii="宋体" w:eastAsia="宋体" w:hAnsi="宋体" w:cs="方正小标宋_GBK" w:hint="eastAsia"/>
          <w:szCs w:val="21"/>
          <w:lang w:bidi="ar"/>
        </w:rPr>
      </w:pPr>
      <w:r w:rsidRPr="00492281">
        <w:rPr>
          <w:rFonts w:ascii="宋体" w:eastAsia="宋体" w:hAnsi="宋体" w:cs="方正小标宋_GBK" w:hint="eastAsia"/>
          <w:szCs w:val="21"/>
          <w:lang w:bidi="ar"/>
        </w:rPr>
        <w:t>其他建设工程分类管理目录清单</w:t>
      </w:r>
    </w:p>
    <w:tbl>
      <w:tblPr>
        <w:tblW w:w="5342" w:type="pct"/>
        <w:tblInd w:w="-5" w:type="dxa"/>
        <w:tblLayout w:type="fixed"/>
        <w:tblCellMar>
          <w:left w:w="28" w:type="dxa"/>
          <w:right w:w="28" w:type="dxa"/>
        </w:tblCellMar>
        <w:tblLook w:val="04A0" w:firstRow="1" w:lastRow="0" w:firstColumn="1" w:lastColumn="0" w:noHBand="0" w:noVBand="1"/>
      </w:tblPr>
      <w:tblGrid>
        <w:gridCol w:w="709"/>
        <w:gridCol w:w="708"/>
        <w:gridCol w:w="4111"/>
        <w:gridCol w:w="3914"/>
        <w:gridCol w:w="846"/>
      </w:tblGrid>
      <w:tr w:rsidR="00D73305" w:rsidRPr="00492281" w14:paraId="70D36934" w14:textId="77777777" w:rsidTr="00492281">
        <w:trPr>
          <w:trHeight w:val="340"/>
        </w:trPr>
        <w:tc>
          <w:tcPr>
            <w:tcW w:w="345" w:type="pct"/>
            <w:vMerge w:val="restart"/>
            <w:tcBorders>
              <w:top w:val="single" w:sz="4" w:space="0" w:color="000000"/>
              <w:left w:val="single" w:sz="4" w:space="0" w:color="000000"/>
              <w:bottom w:val="single" w:sz="4" w:space="0" w:color="000000"/>
              <w:right w:val="single" w:sz="4" w:space="0" w:color="000000"/>
            </w:tcBorders>
            <w:vAlign w:val="center"/>
          </w:tcPr>
          <w:p w14:paraId="1DF0DF81"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Style w:val="200"/>
                <w:rFonts w:ascii="宋体" w:eastAsia="宋体" w:hAnsi="宋体" w:hint="default"/>
                <w:sz w:val="18"/>
                <w:szCs w:val="18"/>
                <w:lang w:bidi="ar"/>
              </w:rPr>
              <w:t>类型</w:t>
            </w:r>
          </w:p>
        </w:tc>
        <w:tc>
          <w:tcPr>
            <w:tcW w:w="4244" w:type="pct"/>
            <w:gridSpan w:val="3"/>
            <w:tcBorders>
              <w:top w:val="single" w:sz="4" w:space="0" w:color="000000"/>
              <w:left w:val="nil"/>
              <w:bottom w:val="single" w:sz="4" w:space="0" w:color="000000"/>
              <w:right w:val="single" w:sz="4" w:space="0" w:color="000000"/>
            </w:tcBorders>
            <w:noWrap/>
            <w:vAlign w:val="center"/>
          </w:tcPr>
          <w:p w14:paraId="3CBB21D1"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Style w:val="200"/>
                <w:rFonts w:ascii="宋体" w:eastAsia="宋体" w:hAnsi="宋体" w:hint="default"/>
                <w:sz w:val="18"/>
                <w:szCs w:val="18"/>
                <w:lang w:bidi="ar"/>
              </w:rPr>
              <w:t>划分标准</w:t>
            </w:r>
          </w:p>
        </w:tc>
        <w:tc>
          <w:tcPr>
            <w:tcW w:w="411" w:type="pct"/>
            <w:vMerge w:val="restart"/>
            <w:tcBorders>
              <w:top w:val="single" w:sz="4" w:space="0" w:color="000000"/>
              <w:left w:val="nil"/>
              <w:bottom w:val="single" w:sz="4" w:space="0" w:color="000000"/>
              <w:right w:val="single" w:sz="4" w:space="0" w:color="000000"/>
            </w:tcBorders>
            <w:vAlign w:val="center"/>
          </w:tcPr>
          <w:p w14:paraId="720D337A" w14:textId="77777777" w:rsidR="00D73305" w:rsidRPr="00492281" w:rsidRDefault="00D73305" w:rsidP="00492281">
            <w:pPr>
              <w:widowControl/>
              <w:adjustRightInd w:val="0"/>
              <w:spacing w:line="240" w:lineRule="exact"/>
              <w:jc w:val="center"/>
              <w:textAlignment w:val="center"/>
              <w:rPr>
                <w:rStyle w:val="200"/>
                <w:rFonts w:ascii="宋体" w:eastAsia="宋体" w:hAnsi="宋体" w:hint="default"/>
                <w:sz w:val="18"/>
                <w:szCs w:val="18"/>
                <w:lang w:bidi="ar"/>
              </w:rPr>
            </w:pPr>
            <w:r w:rsidRPr="00492281">
              <w:rPr>
                <w:rStyle w:val="200"/>
                <w:rFonts w:ascii="宋体" w:eastAsia="宋体" w:hAnsi="宋体" w:hint="default"/>
                <w:sz w:val="18"/>
                <w:szCs w:val="18"/>
                <w:lang w:bidi="ar"/>
              </w:rPr>
              <w:t>抽查</w:t>
            </w:r>
          </w:p>
          <w:p w14:paraId="7F7CC661"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Style w:val="200"/>
                <w:rFonts w:ascii="宋体" w:eastAsia="宋体" w:hAnsi="宋体" w:hint="default"/>
                <w:sz w:val="18"/>
                <w:szCs w:val="18"/>
                <w:lang w:bidi="ar"/>
              </w:rPr>
              <w:t>比例</w:t>
            </w:r>
          </w:p>
        </w:tc>
      </w:tr>
      <w:tr w:rsidR="00492281" w:rsidRPr="00492281" w14:paraId="14274F6A" w14:textId="77777777" w:rsidTr="00492281">
        <w:trPr>
          <w:trHeight w:val="340"/>
        </w:trPr>
        <w:tc>
          <w:tcPr>
            <w:tcW w:w="345" w:type="pct"/>
            <w:vMerge/>
            <w:tcBorders>
              <w:top w:val="single" w:sz="4" w:space="0" w:color="000000"/>
              <w:left w:val="single" w:sz="4" w:space="0" w:color="000000"/>
              <w:bottom w:val="single" w:sz="4" w:space="0" w:color="000000"/>
              <w:right w:val="single" w:sz="4" w:space="0" w:color="000000"/>
            </w:tcBorders>
            <w:vAlign w:val="center"/>
          </w:tcPr>
          <w:p w14:paraId="7977D45E"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051B0A52"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s="方正黑体_GBK" w:hint="eastAsia"/>
                <w:color w:val="000000"/>
                <w:sz w:val="18"/>
                <w:szCs w:val="18"/>
                <w:lang w:bidi="ar"/>
              </w:rPr>
              <w:t>序号</w:t>
            </w:r>
          </w:p>
        </w:tc>
        <w:tc>
          <w:tcPr>
            <w:tcW w:w="1998" w:type="pct"/>
            <w:tcBorders>
              <w:top w:val="single" w:sz="4" w:space="0" w:color="000000"/>
              <w:left w:val="nil"/>
              <w:bottom w:val="single" w:sz="4" w:space="0" w:color="000000"/>
              <w:right w:val="single" w:sz="4" w:space="0" w:color="000000"/>
            </w:tcBorders>
            <w:vAlign w:val="center"/>
          </w:tcPr>
          <w:p w14:paraId="79679C1D" w14:textId="1F21FC8B"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Style w:val="200"/>
                <w:rFonts w:ascii="宋体" w:eastAsia="宋体" w:hAnsi="宋体" w:hint="default"/>
                <w:sz w:val="18"/>
                <w:szCs w:val="18"/>
                <w:lang w:bidi="ar"/>
              </w:rPr>
              <w:t>使用功能</w:t>
            </w:r>
            <w:r w:rsidR="00492281" w:rsidRPr="00492281">
              <w:rPr>
                <w:rStyle w:val="200"/>
                <w:rFonts w:ascii="宋体" w:eastAsia="宋体" w:hAnsi="宋体" w:hint="default"/>
                <w:sz w:val="18"/>
                <w:szCs w:val="18"/>
                <w:lang w:bidi="ar"/>
              </w:rPr>
              <w:t>(</w:t>
            </w:r>
            <w:r w:rsidRPr="00492281">
              <w:rPr>
                <w:rStyle w:val="200"/>
                <w:rFonts w:ascii="宋体" w:eastAsia="宋体" w:hAnsi="宋体" w:hint="default"/>
                <w:sz w:val="18"/>
                <w:szCs w:val="18"/>
                <w:lang w:bidi="ar"/>
              </w:rPr>
              <w:t>情形</w:t>
            </w:r>
            <w:r w:rsidR="00492281" w:rsidRPr="00492281">
              <w:rPr>
                <w:rStyle w:val="200"/>
                <w:rFonts w:ascii="宋体" w:eastAsia="宋体" w:hAnsi="宋体" w:hint="default"/>
                <w:sz w:val="18"/>
                <w:szCs w:val="18"/>
                <w:lang w:bidi="ar"/>
              </w:rPr>
              <w:t>)</w:t>
            </w:r>
          </w:p>
        </w:tc>
        <w:tc>
          <w:tcPr>
            <w:tcW w:w="1902" w:type="pct"/>
            <w:tcBorders>
              <w:top w:val="single" w:sz="4" w:space="0" w:color="000000"/>
              <w:left w:val="nil"/>
              <w:bottom w:val="single" w:sz="4" w:space="0" w:color="000000"/>
              <w:right w:val="single" w:sz="4" w:space="0" w:color="000000"/>
            </w:tcBorders>
            <w:vAlign w:val="center"/>
          </w:tcPr>
          <w:p w14:paraId="16DD0ACF" w14:textId="0063C3C2"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Style w:val="200"/>
                <w:rFonts w:ascii="宋体" w:eastAsia="宋体" w:hAnsi="宋体" w:hint="default"/>
                <w:sz w:val="18"/>
                <w:szCs w:val="18"/>
                <w:lang w:bidi="ar"/>
              </w:rPr>
              <w:t>工程规模</w:t>
            </w:r>
            <w:r w:rsidR="00492281" w:rsidRPr="00492281">
              <w:rPr>
                <w:rStyle w:val="200"/>
                <w:rFonts w:ascii="宋体" w:eastAsia="宋体" w:hAnsi="宋体" w:hint="default"/>
                <w:sz w:val="18"/>
                <w:szCs w:val="18"/>
                <w:lang w:bidi="ar"/>
              </w:rPr>
              <w:t>(</w:t>
            </w:r>
            <w:r w:rsidRPr="00492281">
              <w:rPr>
                <w:rStyle w:val="200"/>
                <w:rFonts w:ascii="宋体" w:eastAsia="宋体" w:hAnsi="宋体" w:hint="default"/>
                <w:sz w:val="18"/>
                <w:szCs w:val="18"/>
                <w:lang w:bidi="ar"/>
              </w:rPr>
              <w:t>条件</w:t>
            </w:r>
            <w:r w:rsidR="00492281" w:rsidRPr="00492281">
              <w:rPr>
                <w:rStyle w:val="200"/>
                <w:rFonts w:ascii="宋体" w:eastAsia="宋体" w:hAnsi="宋体" w:hint="default"/>
                <w:sz w:val="18"/>
                <w:szCs w:val="18"/>
                <w:lang w:bidi="ar"/>
              </w:rPr>
              <w:t>)</w:t>
            </w:r>
          </w:p>
        </w:tc>
        <w:tc>
          <w:tcPr>
            <w:tcW w:w="411" w:type="pct"/>
            <w:vMerge/>
            <w:tcBorders>
              <w:top w:val="single" w:sz="4" w:space="0" w:color="000000"/>
              <w:left w:val="nil"/>
              <w:bottom w:val="single" w:sz="4" w:space="0" w:color="000000"/>
              <w:right w:val="single" w:sz="4" w:space="0" w:color="000000"/>
            </w:tcBorders>
            <w:vAlign w:val="center"/>
          </w:tcPr>
          <w:p w14:paraId="38F46DDB" w14:textId="77777777" w:rsidR="00D73305" w:rsidRPr="00492281" w:rsidRDefault="00D73305" w:rsidP="00492281">
            <w:pPr>
              <w:spacing w:line="240" w:lineRule="exact"/>
              <w:rPr>
                <w:rFonts w:ascii="宋体" w:eastAsia="宋体" w:hAnsi="宋体"/>
                <w:sz w:val="18"/>
                <w:szCs w:val="18"/>
              </w:rPr>
            </w:pPr>
          </w:p>
        </w:tc>
      </w:tr>
      <w:tr w:rsidR="00492281" w:rsidRPr="00492281" w14:paraId="776D36BF" w14:textId="77777777" w:rsidTr="00492281">
        <w:trPr>
          <w:trHeight w:val="340"/>
        </w:trPr>
        <w:tc>
          <w:tcPr>
            <w:tcW w:w="345" w:type="pct"/>
            <w:vMerge w:val="restart"/>
            <w:tcBorders>
              <w:top w:val="nil"/>
              <w:left w:val="single" w:sz="4" w:space="0" w:color="000000"/>
              <w:bottom w:val="single" w:sz="4" w:space="0" w:color="000000"/>
              <w:right w:val="single" w:sz="4" w:space="0" w:color="000000"/>
            </w:tcBorders>
            <w:vAlign w:val="center"/>
          </w:tcPr>
          <w:p w14:paraId="519A05C8" w14:textId="77777777" w:rsidR="00492281" w:rsidRDefault="00D73305" w:rsidP="00492281">
            <w:pPr>
              <w:widowControl/>
              <w:adjustRightInd w:val="0"/>
              <w:spacing w:line="240" w:lineRule="exact"/>
              <w:jc w:val="center"/>
              <w:textAlignment w:val="center"/>
              <w:rPr>
                <w:rStyle w:val="19"/>
                <w:rFonts w:ascii="宋体" w:eastAsia="宋体" w:hAnsi="宋体" w:hint="default"/>
                <w:sz w:val="18"/>
                <w:szCs w:val="18"/>
                <w:lang w:bidi="ar"/>
              </w:rPr>
            </w:pPr>
            <w:r w:rsidRPr="00492281">
              <w:rPr>
                <w:rStyle w:val="19"/>
                <w:rFonts w:ascii="宋体" w:eastAsia="宋体" w:hAnsi="宋体" w:hint="default"/>
                <w:sz w:val="18"/>
                <w:szCs w:val="18"/>
                <w:lang w:bidi="ar"/>
              </w:rPr>
              <w:t>重点</w:t>
            </w:r>
          </w:p>
          <w:p w14:paraId="431E5BB7" w14:textId="409C9201"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项目</w:t>
            </w:r>
          </w:p>
        </w:tc>
        <w:tc>
          <w:tcPr>
            <w:tcW w:w="344" w:type="pct"/>
            <w:tcBorders>
              <w:top w:val="single" w:sz="4" w:space="0" w:color="000000"/>
              <w:left w:val="nil"/>
              <w:bottom w:val="single" w:sz="4" w:space="0" w:color="000000"/>
              <w:right w:val="single" w:sz="4" w:space="0" w:color="000000"/>
            </w:tcBorders>
            <w:vAlign w:val="center"/>
          </w:tcPr>
          <w:p w14:paraId="7EB15CE2"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1</w:t>
            </w:r>
          </w:p>
        </w:tc>
        <w:tc>
          <w:tcPr>
            <w:tcW w:w="1998" w:type="pct"/>
            <w:tcBorders>
              <w:top w:val="single" w:sz="4" w:space="0" w:color="000000"/>
              <w:left w:val="nil"/>
              <w:bottom w:val="single" w:sz="4" w:space="0" w:color="000000"/>
              <w:right w:val="single" w:sz="4" w:space="0" w:color="000000"/>
            </w:tcBorders>
            <w:vAlign w:val="center"/>
          </w:tcPr>
          <w:p w14:paraId="75454F65" w14:textId="77777777" w:rsidR="00D73305" w:rsidRPr="00492281" w:rsidRDefault="00D73305" w:rsidP="00492281">
            <w:pPr>
              <w:widowControl/>
              <w:adjustRightInd w:val="0"/>
              <w:spacing w:line="240" w:lineRule="exact"/>
              <w:jc w:val="lef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体育场馆、会堂，公共展览馆、博物馆的展示厅</w:t>
            </w:r>
          </w:p>
        </w:tc>
        <w:tc>
          <w:tcPr>
            <w:tcW w:w="1902" w:type="pct"/>
            <w:tcBorders>
              <w:top w:val="single" w:sz="4" w:space="0" w:color="000000"/>
              <w:left w:val="nil"/>
              <w:bottom w:val="single" w:sz="4" w:space="0" w:color="000000"/>
              <w:right w:val="single" w:sz="4" w:space="0" w:color="000000"/>
            </w:tcBorders>
            <w:vAlign w:val="center"/>
          </w:tcPr>
          <w:p w14:paraId="7F03DB49"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建筑面积</w:t>
            </w:r>
            <w:r w:rsidRPr="00492281">
              <w:rPr>
                <w:rStyle w:val="17"/>
                <w:rFonts w:ascii="宋体" w:eastAsia="宋体" w:hAnsi="宋体"/>
                <w:sz w:val="18"/>
                <w:szCs w:val="18"/>
                <w:lang w:bidi="ar"/>
              </w:rPr>
              <w:t>300</w:t>
            </w:r>
            <w:r w:rsidRPr="00492281">
              <w:rPr>
                <w:rStyle w:val="19"/>
                <w:rFonts w:ascii="宋体" w:eastAsia="宋体" w:hAnsi="宋体" w:hint="default"/>
                <w:sz w:val="18"/>
                <w:szCs w:val="18"/>
                <w:lang w:bidi="ar"/>
              </w:rPr>
              <w:t>平方米至</w:t>
            </w:r>
            <w:r w:rsidRPr="00492281">
              <w:rPr>
                <w:rStyle w:val="17"/>
                <w:rFonts w:ascii="宋体" w:eastAsia="宋体" w:hAnsi="宋体"/>
                <w:sz w:val="18"/>
                <w:szCs w:val="18"/>
                <w:lang w:bidi="ar"/>
              </w:rPr>
              <w:t>20000</w:t>
            </w:r>
            <w:r w:rsidRPr="00492281">
              <w:rPr>
                <w:rStyle w:val="19"/>
                <w:rFonts w:ascii="宋体" w:eastAsia="宋体" w:hAnsi="宋体" w:hint="default"/>
                <w:sz w:val="18"/>
                <w:szCs w:val="18"/>
                <w:lang w:bidi="ar"/>
              </w:rPr>
              <w:t>平方米。</w:t>
            </w:r>
          </w:p>
        </w:tc>
        <w:tc>
          <w:tcPr>
            <w:tcW w:w="411" w:type="pct"/>
            <w:vMerge w:val="restart"/>
            <w:tcBorders>
              <w:top w:val="nil"/>
              <w:left w:val="nil"/>
              <w:bottom w:val="single" w:sz="4" w:space="0" w:color="000000"/>
              <w:right w:val="single" w:sz="4" w:space="0" w:color="000000"/>
            </w:tcBorders>
            <w:vAlign w:val="center"/>
          </w:tcPr>
          <w:p w14:paraId="52007AA0" w14:textId="77777777" w:rsidR="00D73305" w:rsidRPr="00492281" w:rsidRDefault="00D73305" w:rsidP="00492281">
            <w:pPr>
              <w:widowControl/>
              <w:adjustRightInd w:val="0"/>
              <w:spacing w:line="240" w:lineRule="exact"/>
              <w:jc w:val="center"/>
              <w:rPr>
                <w:rFonts w:ascii="宋体" w:eastAsia="宋体" w:hAnsi="宋体"/>
                <w:color w:val="000000"/>
                <w:sz w:val="18"/>
                <w:szCs w:val="18"/>
              </w:rPr>
            </w:pPr>
            <w:r w:rsidRPr="00492281">
              <w:rPr>
                <w:rFonts w:ascii="宋体" w:eastAsia="宋体" w:hAnsi="宋体"/>
                <w:color w:val="000000"/>
                <w:sz w:val="18"/>
                <w:szCs w:val="18"/>
                <w:lang w:bidi="ar"/>
              </w:rPr>
              <w:t>50%</w:t>
            </w:r>
          </w:p>
        </w:tc>
      </w:tr>
      <w:tr w:rsidR="00492281" w:rsidRPr="00492281" w14:paraId="51113EB4"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33DA296F"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53745E77"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2</w:t>
            </w:r>
          </w:p>
        </w:tc>
        <w:tc>
          <w:tcPr>
            <w:tcW w:w="1998" w:type="pct"/>
            <w:tcBorders>
              <w:top w:val="single" w:sz="4" w:space="0" w:color="000000"/>
              <w:left w:val="nil"/>
              <w:bottom w:val="single" w:sz="4" w:space="0" w:color="000000"/>
              <w:right w:val="single" w:sz="4" w:space="0" w:color="000000"/>
            </w:tcBorders>
            <w:vAlign w:val="center"/>
          </w:tcPr>
          <w:p w14:paraId="3258DE96" w14:textId="77777777" w:rsidR="00D73305" w:rsidRPr="00492281" w:rsidRDefault="00D73305" w:rsidP="00492281">
            <w:pPr>
              <w:widowControl/>
              <w:adjustRightInd w:val="0"/>
              <w:spacing w:line="240" w:lineRule="exact"/>
              <w:jc w:val="lef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民用机场航站楼、客运车站候车室、客运码头候船厅</w:t>
            </w:r>
          </w:p>
        </w:tc>
        <w:tc>
          <w:tcPr>
            <w:tcW w:w="1902" w:type="pct"/>
            <w:tcBorders>
              <w:top w:val="single" w:sz="4" w:space="0" w:color="000000"/>
              <w:left w:val="nil"/>
              <w:bottom w:val="single" w:sz="4" w:space="0" w:color="000000"/>
              <w:right w:val="single" w:sz="4" w:space="0" w:color="000000"/>
            </w:tcBorders>
            <w:vAlign w:val="center"/>
          </w:tcPr>
          <w:p w14:paraId="165FF4CA"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建筑面积</w:t>
            </w:r>
            <w:r w:rsidRPr="00492281">
              <w:rPr>
                <w:rStyle w:val="17"/>
                <w:rFonts w:ascii="宋体" w:eastAsia="宋体" w:hAnsi="宋体"/>
                <w:sz w:val="18"/>
                <w:szCs w:val="18"/>
                <w:lang w:bidi="ar"/>
              </w:rPr>
              <w:t>300</w:t>
            </w:r>
            <w:r w:rsidRPr="00492281">
              <w:rPr>
                <w:rStyle w:val="19"/>
                <w:rFonts w:ascii="宋体" w:eastAsia="宋体" w:hAnsi="宋体" w:hint="default"/>
                <w:sz w:val="18"/>
                <w:szCs w:val="18"/>
                <w:lang w:bidi="ar"/>
              </w:rPr>
              <w:t>平方米至</w:t>
            </w:r>
            <w:r w:rsidRPr="00492281">
              <w:rPr>
                <w:rStyle w:val="17"/>
                <w:rFonts w:ascii="宋体" w:eastAsia="宋体" w:hAnsi="宋体"/>
                <w:sz w:val="18"/>
                <w:szCs w:val="18"/>
                <w:lang w:bidi="ar"/>
              </w:rPr>
              <w:t>15000</w:t>
            </w:r>
            <w:r w:rsidRPr="00492281">
              <w:rPr>
                <w:rStyle w:val="19"/>
                <w:rFonts w:ascii="宋体" w:eastAsia="宋体" w:hAnsi="宋体" w:hint="default"/>
                <w:sz w:val="18"/>
                <w:szCs w:val="18"/>
                <w:lang w:bidi="ar"/>
              </w:rPr>
              <w:t>平方米。</w:t>
            </w:r>
          </w:p>
        </w:tc>
        <w:tc>
          <w:tcPr>
            <w:tcW w:w="411" w:type="pct"/>
            <w:vMerge/>
            <w:tcBorders>
              <w:top w:val="nil"/>
              <w:left w:val="nil"/>
              <w:bottom w:val="single" w:sz="4" w:space="0" w:color="000000"/>
              <w:right w:val="single" w:sz="4" w:space="0" w:color="000000"/>
            </w:tcBorders>
            <w:vAlign w:val="center"/>
          </w:tcPr>
          <w:p w14:paraId="7A3EAA1E" w14:textId="77777777" w:rsidR="00D73305" w:rsidRPr="00492281" w:rsidRDefault="00D73305" w:rsidP="00492281">
            <w:pPr>
              <w:spacing w:line="240" w:lineRule="exact"/>
              <w:rPr>
                <w:rFonts w:ascii="宋体" w:eastAsia="宋体" w:hAnsi="宋体"/>
                <w:sz w:val="18"/>
                <w:szCs w:val="18"/>
              </w:rPr>
            </w:pPr>
          </w:p>
        </w:tc>
      </w:tr>
      <w:tr w:rsidR="00492281" w:rsidRPr="00492281" w14:paraId="0BB7C1C1"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1D9F5855"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050C7FA9"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3</w:t>
            </w:r>
          </w:p>
        </w:tc>
        <w:tc>
          <w:tcPr>
            <w:tcW w:w="1998" w:type="pct"/>
            <w:tcBorders>
              <w:top w:val="single" w:sz="4" w:space="0" w:color="000000"/>
              <w:left w:val="nil"/>
              <w:bottom w:val="single" w:sz="4" w:space="0" w:color="000000"/>
              <w:right w:val="single" w:sz="4" w:space="0" w:color="000000"/>
            </w:tcBorders>
            <w:vAlign w:val="center"/>
          </w:tcPr>
          <w:p w14:paraId="4B8A3482" w14:textId="77777777" w:rsidR="00D73305" w:rsidRPr="00492281" w:rsidRDefault="00D73305" w:rsidP="00492281">
            <w:pPr>
              <w:widowControl/>
              <w:adjustRightInd w:val="0"/>
              <w:spacing w:line="240" w:lineRule="exact"/>
              <w:jc w:val="lef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宾馆、饭店、商场、市场</w:t>
            </w:r>
          </w:p>
        </w:tc>
        <w:tc>
          <w:tcPr>
            <w:tcW w:w="1902" w:type="pct"/>
            <w:tcBorders>
              <w:top w:val="single" w:sz="4" w:space="0" w:color="000000"/>
              <w:left w:val="nil"/>
              <w:bottom w:val="single" w:sz="4" w:space="0" w:color="000000"/>
              <w:right w:val="single" w:sz="4" w:space="0" w:color="000000"/>
            </w:tcBorders>
            <w:vAlign w:val="center"/>
          </w:tcPr>
          <w:p w14:paraId="100D4F53"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建筑面积</w:t>
            </w:r>
            <w:r w:rsidRPr="00492281">
              <w:rPr>
                <w:rStyle w:val="17"/>
                <w:rFonts w:ascii="宋体" w:eastAsia="宋体" w:hAnsi="宋体"/>
                <w:sz w:val="18"/>
                <w:szCs w:val="18"/>
                <w:lang w:bidi="ar"/>
              </w:rPr>
              <w:t>300</w:t>
            </w:r>
            <w:r w:rsidRPr="00492281">
              <w:rPr>
                <w:rStyle w:val="19"/>
                <w:rFonts w:ascii="宋体" w:eastAsia="宋体" w:hAnsi="宋体" w:hint="default"/>
                <w:sz w:val="18"/>
                <w:szCs w:val="18"/>
                <w:lang w:bidi="ar"/>
              </w:rPr>
              <w:t>平方米至</w:t>
            </w:r>
            <w:r w:rsidRPr="00492281">
              <w:rPr>
                <w:rStyle w:val="17"/>
                <w:rFonts w:ascii="宋体" w:eastAsia="宋体" w:hAnsi="宋体"/>
                <w:sz w:val="18"/>
                <w:szCs w:val="18"/>
                <w:lang w:bidi="ar"/>
              </w:rPr>
              <w:t>10000</w:t>
            </w:r>
            <w:r w:rsidRPr="00492281">
              <w:rPr>
                <w:rStyle w:val="19"/>
                <w:rFonts w:ascii="宋体" w:eastAsia="宋体" w:hAnsi="宋体" w:hint="default"/>
                <w:sz w:val="18"/>
                <w:szCs w:val="18"/>
                <w:lang w:bidi="ar"/>
              </w:rPr>
              <w:t>平方米。</w:t>
            </w:r>
          </w:p>
        </w:tc>
        <w:tc>
          <w:tcPr>
            <w:tcW w:w="411" w:type="pct"/>
            <w:vMerge/>
            <w:tcBorders>
              <w:top w:val="nil"/>
              <w:left w:val="nil"/>
              <w:bottom w:val="single" w:sz="4" w:space="0" w:color="000000"/>
              <w:right w:val="single" w:sz="4" w:space="0" w:color="000000"/>
            </w:tcBorders>
            <w:vAlign w:val="center"/>
          </w:tcPr>
          <w:p w14:paraId="69A8CC70" w14:textId="77777777" w:rsidR="00D73305" w:rsidRPr="00492281" w:rsidRDefault="00D73305" w:rsidP="00492281">
            <w:pPr>
              <w:spacing w:line="240" w:lineRule="exact"/>
              <w:rPr>
                <w:rFonts w:ascii="宋体" w:eastAsia="宋体" w:hAnsi="宋体"/>
                <w:sz w:val="18"/>
                <w:szCs w:val="18"/>
              </w:rPr>
            </w:pPr>
          </w:p>
        </w:tc>
      </w:tr>
      <w:tr w:rsidR="00492281" w:rsidRPr="00492281" w14:paraId="5A59254D"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2390AD28"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004F992C"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4</w:t>
            </w:r>
          </w:p>
        </w:tc>
        <w:tc>
          <w:tcPr>
            <w:tcW w:w="1998" w:type="pct"/>
            <w:tcBorders>
              <w:top w:val="single" w:sz="4" w:space="0" w:color="000000"/>
              <w:left w:val="nil"/>
              <w:bottom w:val="single" w:sz="4" w:space="0" w:color="000000"/>
              <w:right w:val="single" w:sz="4" w:space="0" w:color="000000"/>
            </w:tcBorders>
            <w:vAlign w:val="center"/>
          </w:tcPr>
          <w:p w14:paraId="08B3E4F6" w14:textId="77777777" w:rsidR="00D73305" w:rsidRPr="00492281" w:rsidRDefault="00D73305" w:rsidP="00492281">
            <w:pPr>
              <w:widowControl/>
              <w:adjustRightInd w:val="0"/>
              <w:spacing w:line="240" w:lineRule="exact"/>
              <w:jc w:val="lef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影剧院，公共图书馆的阅览室，营业性室内健身、休闲场馆，医院的门诊楼，大学的教学楼、图书馆、食堂，劳动密集型企业的生产加工车间，寺庙、教堂</w:t>
            </w:r>
          </w:p>
        </w:tc>
        <w:tc>
          <w:tcPr>
            <w:tcW w:w="1902" w:type="pct"/>
            <w:tcBorders>
              <w:top w:val="single" w:sz="4" w:space="0" w:color="000000"/>
              <w:left w:val="nil"/>
              <w:bottom w:val="single" w:sz="4" w:space="0" w:color="000000"/>
              <w:right w:val="single" w:sz="4" w:space="0" w:color="000000"/>
            </w:tcBorders>
            <w:vAlign w:val="center"/>
          </w:tcPr>
          <w:p w14:paraId="786358C7"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建筑面积</w:t>
            </w:r>
            <w:r w:rsidRPr="00492281">
              <w:rPr>
                <w:rStyle w:val="17"/>
                <w:rFonts w:ascii="宋体" w:eastAsia="宋体" w:hAnsi="宋体"/>
                <w:sz w:val="18"/>
                <w:szCs w:val="18"/>
                <w:lang w:bidi="ar"/>
              </w:rPr>
              <w:t>300</w:t>
            </w:r>
            <w:r w:rsidRPr="00492281">
              <w:rPr>
                <w:rStyle w:val="19"/>
                <w:rFonts w:ascii="宋体" w:eastAsia="宋体" w:hAnsi="宋体" w:hint="default"/>
                <w:sz w:val="18"/>
                <w:szCs w:val="18"/>
                <w:lang w:bidi="ar"/>
              </w:rPr>
              <w:t>平方米至</w:t>
            </w:r>
            <w:r w:rsidRPr="00492281">
              <w:rPr>
                <w:rStyle w:val="17"/>
                <w:rFonts w:ascii="宋体" w:eastAsia="宋体" w:hAnsi="宋体"/>
                <w:sz w:val="18"/>
                <w:szCs w:val="18"/>
                <w:lang w:bidi="ar"/>
              </w:rPr>
              <w:t>2500</w:t>
            </w:r>
            <w:r w:rsidRPr="00492281">
              <w:rPr>
                <w:rStyle w:val="19"/>
                <w:rFonts w:ascii="宋体" w:eastAsia="宋体" w:hAnsi="宋体" w:hint="default"/>
                <w:sz w:val="18"/>
                <w:szCs w:val="18"/>
                <w:lang w:bidi="ar"/>
              </w:rPr>
              <w:t>平方米。</w:t>
            </w:r>
          </w:p>
        </w:tc>
        <w:tc>
          <w:tcPr>
            <w:tcW w:w="411" w:type="pct"/>
            <w:vMerge/>
            <w:tcBorders>
              <w:top w:val="nil"/>
              <w:left w:val="nil"/>
              <w:bottom w:val="single" w:sz="4" w:space="0" w:color="000000"/>
              <w:right w:val="single" w:sz="4" w:space="0" w:color="000000"/>
            </w:tcBorders>
            <w:vAlign w:val="center"/>
          </w:tcPr>
          <w:p w14:paraId="1651C757" w14:textId="77777777" w:rsidR="00D73305" w:rsidRPr="00492281" w:rsidRDefault="00D73305" w:rsidP="00492281">
            <w:pPr>
              <w:spacing w:line="240" w:lineRule="exact"/>
              <w:rPr>
                <w:rFonts w:ascii="宋体" w:eastAsia="宋体" w:hAnsi="宋体"/>
                <w:sz w:val="18"/>
                <w:szCs w:val="18"/>
              </w:rPr>
            </w:pPr>
          </w:p>
        </w:tc>
      </w:tr>
      <w:tr w:rsidR="00492281" w:rsidRPr="00492281" w14:paraId="22287251"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28F8ECDE"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70A3B7B8"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5</w:t>
            </w:r>
          </w:p>
        </w:tc>
        <w:tc>
          <w:tcPr>
            <w:tcW w:w="1998" w:type="pct"/>
            <w:tcBorders>
              <w:top w:val="single" w:sz="4" w:space="0" w:color="000000"/>
              <w:left w:val="nil"/>
              <w:bottom w:val="single" w:sz="4" w:space="0" w:color="000000"/>
              <w:right w:val="single" w:sz="4" w:space="0" w:color="000000"/>
            </w:tcBorders>
            <w:vAlign w:val="center"/>
          </w:tcPr>
          <w:p w14:paraId="53CBFB17" w14:textId="77777777" w:rsidR="00D73305" w:rsidRPr="00492281" w:rsidRDefault="00D73305" w:rsidP="00492281">
            <w:pPr>
              <w:widowControl/>
              <w:adjustRightInd w:val="0"/>
              <w:spacing w:line="240" w:lineRule="exact"/>
              <w:jc w:val="lef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托儿所、幼儿园的儿童用房，儿童游乐厅等室内儿童活动场所，养老院、福利院，医院、疗养院的病房楼，中小学校的教学楼、图书馆、食堂，学校的集体宿舍，劳动密集型企业的员工集体宿舍</w:t>
            </w:r>
          </w:p>
        </w:tc>
        <w:tc>
          <w:tcPr>
            <w:tcW w:w="1902" w:type="pct"/>
            <w:tcBorders>
              <w:top w:val="single" w:sz="4" w:space="0" w:color="000000"/>
              <w:left w:val="nil"/>
              <w:bottom w:val="single" w:sz="4" w:space="0" w:color="000000"/>
              <w:right w:val="single" w:sz="4" w:space="0" w:color="000000"/>
            </w:tcBorders>
            <w:vAlign w:val="center"/>
          </w:tcPr>
          <w:p w14:paraId="536C74E6"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建筑面积</w:t>
            </w:r>
            <w:r w:rsidRPr="00492281">
              <w:rPr>
                <w:rStyle w:val="17"/>
                <w:rFonts w:ascii="宋体" w:eastAsia="宋体" w:hAnsi="宋体"/>
                <w:sz w:val="18"/>
                <w:szCs w:val="18"/>
                <w:lang w:bidi="ar"/>
              </w:rPr>
              <w:t>300</w:t>
            </w:r>
            <w:r w:rsidRPr="00492281">
              <w:rPr>
                <w:rStyle w:val="19"/>
                <w:rFonts w:ascii="宋体" w:eastAsia="宋体" w:hAnsi="宋体" w:hint="default"/>
                <w:sz w:val="18"/>
                <w:szCs w:val="18"/>
                <w:lang w:bidi="ar"/>
              </w:rPr>
              <w:t>平方米至</w:t>
            </w:r>
            <w:r w:rsidRPr="00492281">
              <w:rPr>
                <w:rStyle w:val="17"/>
                <w:rFonts w:ascii="宋体" w:eastAsia="宋体" w:hAnsi="宋体"/>
                <w:sz w:val="18"/>
                <w:szCs w:val="18"/>
                <w:lang w:bidi="ar"/>
              </w:rPr>
              <w:t>1000</w:t>
            </w:r>
            <w:r w:rsidRPr="00492281">
              <w:rPr>
                <w:rStyle w:val="19"/>
                <w:rFonts w:ascii="宋体" w:eastAsia="宋体" w:hAnsi="宋体" w:hint="default"/>
                <w:sz w:val="18"/>
                <w:szCs w:val="18"/>
                <w:lang w:bidi="ar"/>
              </w:rPr>
              <w:t>平方米。</w:t>
            </w:r>
          </w:p>
        </w:tc>
        <w:tc>
          <w:tcPr>
            <w:tcW w:w="411" w:type="pct"/>
            <w:vMerge/>
            <w:tcBorders>
              <w:top w:val="nil"/>
              <w:left w:val="nil"/>
              <w:bottom w:val="single" w:sz="4" w:space="0" w:color="000000"/>
              <w:right w:val="single" w:sz="4" w:space="0" w:color="000000"/>
            </w:tcBorders>
            <w:vAlign w:val="center"/>
          </w:tcPr>
          <w:p w14:paraId="02CD89B4" w14:textId="77777777" w:rsidR="00D73305" w:rsidRPr="00492281" w:rsidRDefault="00D73305" w:rsidP="00492281">
            <w:pPr>
              <w:spacing w:line="240" w:lineRule="exact"/>
              <w:rPr>
                <w:rFonts w:ascii="宋体" w:eastAsia="宋体" w:hAnsi="宋体"/>
                <w:sz w:val="18"/>
                <w:szCs w:val="18"/>
              </w:rPr>
            </w:pPr>
          </w:p>
        </w:tc>
      </w:tr>
      <w:tr w:rsidR="00492281" w:rsidRPr="00492281" w14:paraId="43FF4E22"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04B6628D"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63EF6C86"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6</w:t>
            </w:r>
          </w:p>
        </w:tc>
        <w:tc>
          <w:tcPr>
            <w:tcW w:w="1998" w:type="pct"/>
            <w:tcBorders>
              <w:top w:val="single" w:sz="4" w:space="0" w:color="000000"/>
              <w:left w:val="nil"/>
              <w:bottom w:val="single" w:sz="4" w:space="0" w:color="000000"/>
              <w:right w:val="single" w:sz="4" w:space="0" w:color="000000"/>
            </w:tcBorders>
            <w:vAlign w:val="center"/>
          </w:tcPr>
          <w:p w14:paraId="73233E72" w14:textId="77777777" w:rsidR="00D73305" w:rsidRPr="00492281" w:rsidRDefault="00D73305" w:rsidP="00492281">
            <w:pPr>
              <w:widowControl/>
              <w:adjustRightInd w:val="0"/>
              <w:spacing w:line="240" w:lineRule="exact"/>
              <w:jc w:val="lef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歌舞厅、录像厅、放映厅、卡拉</w:t>
            </w:r>
            <w:r w:rsidRPr="00492281">
              <w:rPr>
                <w:rStyle w:val="17"/>
                <w:rFonts w:ascii="宋体" w:eastAsia="宋体" w:hAnsi="宋体"/>
                <w:sz w:val="18"/>
                <w:szCs w:val="18"/>
                <w:lang w:bidi="ar"/>
              </w:rPr>
              <w:t>OK</w:t>
            </w:r>
            <w:r w:rsidRPr="00492281">
              <w:rPr>
                <w:rStyle w:val="19"/>
                <w:rFonts w:ascii="宋体" w:eastAsia="宋体" w:hAnsi="宋体" w:hint="default"/>
                <w:sz w:val="18"/>
                <w:szCs w:val="18"/>
                <w:lang w:bidi="ar"/>
              </w:rPr>
              <w:t>厅、夜总会、游艺厅、桑拿浴室、网吧、酒吧，具有娱乐功能的餐馆、茶馆、咖啡厅</w:t>
            </w:r>
          </w:p>
        </w:tc>
        <w:tc>
          <w:tcPr>
            <w:tcW w:w="1902" w:type="pct"/>
            <w:tcBorders>
              <w:top w:val="single" w:sz="4" w:space="0" w:color="000000"/>
              <w:left w:val="nil"/>
              <w:bottom w:val="single" w:sz="4" w:space="0" w:color="000000"/>
              <w:right w:val="single" w:sz="4" w:space="0" w:color="000000"/>
            </w:tcBorders>
            <w:vAlign w:val="center"/>
          </w:tcPr>
          <w:p w14:paraId="2A1F9F97"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建筑面积不大于</w:t>
            </w:r>
            <w:r w:rsidRPr="00492281">
              <w:rPr>
                <w:rStyle w:val="17"/>
                <w:rFonts w:ascii="宋体" w:eastAsia="宋体" w:hAnsi="宋体"/>
                <w:sz w:val="18"/>
                <w:szCs w:val="18"/>
                <w:lang w:bidi="ar"/>
              </w:rPr>
              <w:t>500</w:t>
            </w:r>
            <w:r w:rsidRPr="00492281">
              <w:rPr>
                <w:rStyle w:val="19"/>
                <w:rFonts w:ascii="宋体" w:eastAsia="宋体" w:hAnsi="宋体" w:hint="default"/>
                <w:sz w:val="18"/>
                <w:szCs w:val="18"/>
                <w:lang w:bidi="ar"/>
              </w:rPr>
              <w:t>平方米。</w:t>
            </w:r>
          </w:p>
        </w:tc>
        <w:tc>
          <w:tcPr>
            <w:tcW w:w="411" w:type="pct"/>
            <w:vMerge/>
            <w:tcBorders>
              <w:top w:val="nil"/>
              <w:left w:val="nil"/>
              <w:bottom w:val="single" w:sz="4" w:space="0" w:color="000000"/>
              <w:right w:val="single" w:sz="4" w:space="0" w:color="000000"/>
            </w:tcBorders>
            <w:vAlign w:val="center"/>
          </w:tcPr>
          <w:p w14:paraId="1A3A2738" w14:textId="77777777" w:rsidR="00D73305" w:rsidRPr="00492281" w:rsidRDefault="00D73305" w:rsidP="00492281">
            <w:pPr>
              <w:spacing w:line="240" w:lineRule="exact"/>
              <w:rPr>
                <w:rFonts w:ascii="宋体" w:eastAsia="宋体" w:hAnsi="宋体"/>
                <w:sz w:val="18"/>
                <w:szCs w:val="18"/>
              </w:rPr>
            </w:pPr>
          </w:p>
        </w:tc>
      </w:tr>
      <w:tr w:rsidR="00492281" w:rsidRPr="00492281" w14:paraId="5E6845D1"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3465506F"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2DCB8340"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7</w:t>
            </w:r>
          </w:p>
        </w:tc>
        <w:tc>
          <w:tcPr>
            <w:tcW w:w="1998" w:type="pct"/>
            <w:tcBorders>
              <w:top w:val="single" w:sz="4" w:space="0" w:color="000000"/>
              <w:left w:val="nil"/>
              <w:bottom w:val="single" w:sz="4" w:space="0" w:color="000000"/>
              <w:right w:val="single" w:sz="4" w:space="0" w:color="000000"/>
            </w:tcBorders>
            <w:vAlign w:val="center"/>
          </w:tcPr>
          <w:p w14:paraId="7376E851" w14:textId="77777777" w:rsidR="00D73305" w:rsidRPr="00492281" w:rsidRDefault="00D73305" w:rsidP="00492281">
            <w:pPr>
              <w:widowControl/>
              <w:adjustRightInd w:val="0"/>
              <w:spacing w:line="240" w:lineRule="exact"/>
              <w:jc w:val="lef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公共建筑</w:t>
            </w:r>
          </w:p>
        </w:tc>
        <w:tc>
          <w:tcPr>
            <w:tcW w:w="1902" w:type="pct"/>
            <w:tcBorders>
              <w:top w:val="single" w:sz="4" w:space="0" w:color="000000"/>
              <w:left w:val="nil"/>
              <w:bottom w:val="single" w:sz="4" w:space="0" w:color="000000"/>
              <w:right w:val="single" w:sz="4" w:space="0" w:color="000000"/>
            </w:tcBorders>
            <w:vAlign w:val="center"/>
          </w:tcPr>
          <w:p w14:paraId="33BB62DD"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上述第一条至第五条规定外，建筑面积在</w:t>
            </w:r>
            <w:r w:rsidRPr="00492281">
              <w:rPr>
                <w:rStyle w:val="17"/>
                <w:rFonts w:ascii="宋体" w:eastAsia="宋体" w:hAnsi="宋体"/>
                <w:sz w:val="18"/>
                <w:szCs w:val="18"/>
                <w:lang w:bidi="ar"/>
              </w:rPr>
              <w:t>2500</w:t>
            </w:r>
            <w:r w:rsidRPr="00492281">
              <w:rPr>
                <w:rStyle w:val="19"/>
                <w:rFonts w:ascii="宋体" w:eastAsia="宋体" w:hAnsi="宋体" w:hint="default"/>
                <w:sz w:val="18"/>
                <w:szCs w:val="18"/>
                <w:lang w:bidi="ar"/>
              </w:rPr>
              <w:t>平方米至</w:t>
            </w:r>
            <w:r w:rsidRPr="00492281">
              <w:rPr>
                <w:rStyle w:val="17"/>
                <w:rFonts w:ascii="宋体" w:eastAsia="宋体" w:hAnsi="宋体"/>
                <w:sz w:val="18"/>
                <w:szCs w:val="18"/>
                <w:lang w:bidi="ar"/>
              </w:rPr>
              <w:t>40000</w:t>
            </w:r>
            <w:r w:rsidRPr="00492281">
              <w:rPr>
                <w:rStyle w:val="19"/>
                <w:rFonts w:ascii="宋体" w:eastAsia="宋体" w:hAnsi="宋体" w:hint="default"/>
                <w:sz w:val="18"/>
                <w:szCs w:val="18"/>
                <w:lang w:bidi="ar"/>
              </w:rPr>
              <w:t>平方米或者建筑高度在</w:t>
            </w:r>
            <w:r w:rsidRPr="00492281">
              <w:rPr>
                <w:rStyle w:val="17"/>
                <w:rFonts w:ascii="宋体" w:eastAsia="宋体" w:hAnsi="宋体"/>
                <w:sz w:val="18"/>
                <w:szCs w:val="18"/>
                <w:lang w:bidi="ar"/>
              </w:rPr>
              <w:t>24</w:t>
            </w:r>
            <w:r w:rsidRPr="00492281">
              <w:rPr>
                <w:rStyle w:val="19"/>
                <w:rFonts w:ascii="宋体" w:eastAsia="宋体" w:hAnsi="宋体" w:hint="default"/>
                <w:sz w:val="18"/>
                <w:szCs w:val="18"/>
                <w:lang w:bidi="ar"/>
              </w:rPr>
              <w:t>米至</w:t>
            </w:r>
            <w:r w:rsidRPr="00492281">
              <w:rPr>
                <w:rStyle w:val="17"/>
                <w:rFonts w:ascii="宋体" w:eastAsia="宋体" w:hAnsi="宋体"/>
                <w:sz w:val="18"/>
                <w:szCs w:val="18"/>
                <w:lang w:bidi="ar"/>
              </w:rPr>
              <w:t>50</w:t>
            </w:r>
            <w:r w:rsidRPr="00492281">
              <w:rPr>
                <w:rStyle w:val="19"/>
                <w:rFonts w:ascii="宋体" w:eastAsia="宋体" w:hAnsi="宋体" w:hint="default"/>
                <w:sz w:val="18"/>
                <w:szCs w:val="18"/>
                <w:lang w:bidi="ar"/>
              </w:rPr>
              <w:t>米之间。</w:t>
            </w:r>
          </w:p>
        </w:tc>
        <w:tc>
          <w:tcPr>
            <w:tcW w:w="411" w:type="pct"/>
            <w:vMerge/>
            <w:tcBorders>
              <w:top w:val="nil"/>
              <w:left w:val="nil"/>
              <w:bottom w:val="single" w:sz="4" w:space="0" w:color="000000"/>
              <w:right w:val="single" w:sz="4" w:space="0" w:color="000000"/>
            </w:tcBorders>
            <w:vAlign w:val="center"/>
          </w:tcPr>
          <w:p w14:paraId="36CC8071" w14:textId="77777777" w:rsidR="00D73305" w:rsidRPr="00492281" w:rsidRDefault="00D73305" w:rsidP="00492281">
            <w:pPr>
              <w:spacing w:line="240" w:lineRule="exact"/>
              <w:rPr>
                <w:rFonts w:ascii="宋体" w:eastAsia="宋体" w:hAnsi="宋体"/>
                <w:sz w:val="18"/>
                <w:szCs w:val="18"/>
              </w:rPr>
            </w:pPr>
          </w:p>
        </w:tc>
      </w:tr>
      <w:tr w:rsidR="00492281" w:rsidRPr="00492281" w14:paraId="775CA02D"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614B49CD"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205B2660"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8</w:t>
            </w:r>
          </w:p>
        </w:tc>
        <w:tc>
          <w:tcPr>
            <w:tcW w:w="1998" w:type="pct"/>
            <w:tcBorders>
              <w:top w:val="single" w:sz="4" w:space="0" w:color="000000"/>
              <w:left w:val="nil"/>
              <w:bottom w:val="single" w:sz="4" w:space="0" w:color="000000"/>
              <w:right w:val="single" w:sz="4" w:space="0" w:color="000000"/>
            </w:tcBorders>
            <w:vAlign w:val="center"/>
          </w:tcPr>
          <w:p w14:paraId="63DBEFBD" w14:textId="77777777" w:rsidR="00D73305" w:rsidRPr="00492281" w:rsidRDefault="00D73305" w:rsidP="00492281">
            <w:pPr>
              <w:widowControl/>
              <w:adjustRightInd w:val="0"/>
              <w:spacing w:line="240" w:lineRule="exact"/>
              <w:jc w:val="lef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二类高层住宅建筑</w:t>
            </w:r>
          </w:p>
        </w:tc>
        <w:tc>
          <w:tcPr>
            <w:tcW w:w="1902" w:type="pct"/>
            <w:tcBorders>
              <w:top w:val="single" w:sz="4" w:space="0" w:color="000000"/>
              <w:left w:val="nil"/>
              <w:bottom w:val="single" w:sz="4" w:space="0" w:color="000000"/>
              <w:right w:val="single" w:sz="4" w:space="0" w:color="000000"/>
            </w:tcBorders>
            <w:vAlign w:val="center"/>
          </w:tcPr>
          <w:p w14:paraId="07890EB7"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建筑高度大于</w:t>
            </w:r>
            <w:r w:rsidRPr="00492281">
              <w:rPr>
                <w:rStyle w:val="17"/>
                <w:rFonts w:ascii="宋体" w:eastAsia="宋体" w:hAnsi="宋体"/>
                <w:sz w:val="18"/>
                <w:szCs w:val="18"/>
                <w:lang w:bidi="ar"/>
              </w:rPr>
              <w:t>27</w:t>
            </w:r>
            <w:r w:rsidRPr="00492281">
              <w:rPr>
                <w:rStyle w:val="19"/>
                <w:rFonts w:ascii="宋体" w:eastAsia="宋体" w:hAnsi="宋体" w:hint="default"/>
                <w:sz w:val="18"/>
                <w:szCs w:val="18"/>
                <w:lang w:bidi="ar"/>
              </w:rPr>
              <w:t>米且不大于</w:t>
            </w:r>
            <w:r w:rsidRPr="00492281">
              <w:rPr>
                <w:rStyle w:val="17"/>
                <w:rFonts w:ascii="宋体" w:eastAsia="宋体" w:hAnsi="宋体"/>
                <w:sz w:val="18"/>
                <w:szCs w:val="18"/>
                <w:lang w:bidi="ar"/>
              </w:rPr>
              <w:t>54</w:t>
            </w:r>
            <w:r w:rsidRPr="00492281">
              <w:rPr>
                <w:rStyle w:val="19"/>
                <w:rFonts w:ascii="宋体" w:eastAsia="宋体" w:hAnsi="宋体" w:hint="default"/>
                <w:sz w:val="18"/>
                <w:szCs w:val="18"/>
                <w:lang w:bidi="ar"/>
              </w:rPr>
              <w:t>米</w:t>
            </w:r>
          </w:p>
        </w:tc>
        <w:tc>
          <w:tcPr>
            <w:tcW w:w="411" w:type="pct"/>
            <w:vMerge/>
            <w:tcBorders>
              <w:top w:val="nil"/>
              <w:left w:val="nil"/>
              <w:bottom w:val="single" w:sz="4" w:space="0" w:color="000000"/>
              <w:right w:val="single" w:sz="4" w:space="0" w:color="000000"/>
            </w:tcBorders>
            <w:vAlign w:val="center"/>
          </w:tcPr>
          <w:p w14:paraId="300628EC" w14:textId="77777777" w:rsidR="00D73305" w:rsidRPr="00492281" w:rsidRDefault="00D73305" w:rsidP="00492281">
            <w:pPr>
              <w:spacing w:line="240" w:lineRule="exact"/>
              <w:rPr>
                <w:rFonts w:ascii="宋体" w:eastAsia="宋体" w:hAnsi="宋体"/>
                <w:sz w:val="18"/>
                <w:szCs w:val="18"/>
              </w:rPr>
            </w:pPr>
          </w:p>
        </w:tc>
      </w:tr>
      <w:tr w:rsidR="00492281" w:rsidRPr="00492281" w14:paraId="05E87D98"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3779D243"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57842E2E"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9</w:t>
            </w:r>
          </w:p>
        </w:tc>
        <w:tc>
          <w:tcPr>
            <w:tcW w:w="1998" w:type="pct"/>
            <w:tcBorders>
              <w:top w:val="single" w:sz="4" w:space="0" w:color="000000"/>
              <w:left w:val="nil"/>
              <w:bottom w:val="single" w:sz="4" w:space="0" w:color="000000"/>
              <w:right w:val="single" w:sz="4" w:space="0" w:color="000000"/>
            </w:tcBorders>
            <w:vAlign w:val="center"/>
          </w:tcPr>
          <w:p w14:paraId="04EC6C63" w14:textId="77777777" w:rsidR="00D73305" w:rsidRPr="00492281" w:rsidRDefault="00D73305" w:rsidP="00492281">
            <w:pPr>
              <w:widowControl/>
              <w:adjustRightInd w:val="0"/>
              <w:spacing w:line="240" w:lineRule="exact"/>
              <w:jc w:val="lef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丙类厂房、仓库，各类冷库</w:t>
            </w:r>
          </w:p>
        </w:tc>
        <w:tc>
          <w:tcPr>
            <w:tcW w:w="1902" w:type="pct"/>
            <w:tcBorders>
              <w:top w:val="single" w:sz="4" w:space="0" w:color="000000"/>
              <w:left w:val="nil"/>
              <w:bottom w:val="single" w:sz="4" w:space="0" w:color="000000"/>
              <w:right w:val="single" w:sz="4" w:space="0" w:color="000000"/>
            </w:tcBorders>
            <w:vAlign w:val="center"/>
          </w:tcPr>
          <w:p w14:paraId="7D06C4FD"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丙类厂房、仓库是指生产、使用、储存闪点大于等于</w:t>
            </w:r>
            <w:r w:rsidRPr="00492281">
              <w:rPr>
                <w:rStyle w:val="19"/>
                <w:rFonts w:ascii="宋体" w:eastAsia="宋体" w:hAnsi="宋体" w:cs="Times New Roman" w:hint="default"/>
                <w:sz w:val="18"/>
                <w:szCs w:val="18"/>
                <w:lang w:bidi="ar"/>
              </w:rPr>
              <w:t>60℃</w:t>
            </w:r>
            <w:r w:rsidRPr="00492281">
              <w:rPr>
                <w:rStyle w:val="19"/>
                <w:rFonts w:ascii="宋体" w:eastAsia="宋体" w:hAnsi="宋体" w:hint="default"/>
                <w:sz w:val="18"/>
                <w:szCs w:val="18"/>
                <w:lang w:bidi="ar"/>
              </w:rPr>
              <w:t>的液体或可燃固体物质的厂房、仓库。</w:t>
            </w:r>
          </w:p>
          <w:p w14:paraId="07C01281"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各类冷库是指采用人工制冷降温并具有保冷功能的仓储建筑。</w:t>
            </w:r>
          </w:p>
        </w:tc>
        <w:tc>
          <w:tcPr>
            <w:tcW w:w="411" w:type="pct"/>
            <w:vMerge/>
            <w:tcBorders>
              <w:top w:val="nil"/>
              <w:left w:val="nil"/>
              <w:bottom w:val="single" w:sz="4" w:space="0" w:color="000000"/>
              <w:right w:val="single" w:sz="4" w:space="0" w:color="000000"/>
            </w:tcBorders>
            <w:vAlign w:val="center"/>
          </w:tcPr>
          <w:p w14:paraId="6E928440" w14:textId="77777777" w:rsidR="00D73305" w:rsidRPr="00492281" w:rsidRDefault="00D73305" w:rsidP="00492281">
            <w:pPr>
              <w:spacing w:line="240" w:lineRule="exact"/>
              <w:rPr>
                <w:rFonts w:ascii="宋体" w:eastAsia="宋体" w:hAnsi="宋体"/>
                <w:sz w:val="18"/>
                <w:szCs w:val="18"/>
              </w:rPr>
            </w:pPr>
          </w:p>
        </w:tc>
      </w:tr>
      <w:tr w:rsidR="00492281" w:rsidRPr="00492281" w14:paraId="32E88FD0"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4326EAE3"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470DE8EC"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10</w:t>
            </w:r>
          </w:p>
        </w:tc>
        <w:tc>
          <w:tcPr>
            <w:tcW w:w="1998" w:type="pct"/>
            <w:tcBorders>
              <w:top w:val="single" w:sz="4" w:space="0" w:color="000000"/>
              <w:left w:val="nil"/>
              <w:bottom w:val="single" w:sz="4" w:space="0" w:color="000000"/>
              <w:right w:val="single" w:sz="4" w:space="0" w:color="000000"/>
            </w:tcBorders>
            <w:vAlign w:val="center"/>
          </w:tcPr>
          <w:p w14:paraId="7BAD7322" w14:textId="77777777" w:rsidR="00D73305" w:rsidRPr="00492281" w:rsidRDefault="00D73305" w:rsidP="00492281">
            <w:pPr>
              <w:widowControl/>
              <w:adjustRightInd w:val="0"/>
              <w:spacing w:line="240" w:lineRule="exact"/>
              <w:jc w:val="lef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中小型发电、变配电工程</w:t>
            </w:r>
          </w:p>
        </w:tc>
        <w:tc>
          <w:tcPr>
            <w:tcW w:w="1902" w:type="pct"/>
            <w:tcBorders>
              <w:top w:val="single" w:sz="4" w:space="0" w:color="000000"/>
              <w:left w:val="nil"/>
              <w:bottom w:val="single" w:sz="4" w:space="0" w:color="000000"/>
              <w:right w:val="single" w:sz="4" w:space="0" w:color="000000"/>
            </w:tcBorders>
            <w:vAlign w:val="center"/>
          </w:tcPr>
          <w:p w14:paraId="4826D18B" w14:textId="1E9691F0"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cs="Times New Roman" w:hint="default"/>
                <w:sz w:val="18"/>
                <w:szCs w:val="18"/>
                <w:lang w:bidi="ar"/>
              </w:rPr>
              <w:t>1.</w:t>
            </w:r>
            <w:r w:rsidRPr="00492281">
              <w:rPr>
                <w:rStyle w:val="19"/>
                <w:rFonts w:ascii="宋体" w:eastAsia="宋体" w:hAnsi="宋体" w:hint="default"/>
                <w:sz w:val="18"/>
                <w:szCs w:val="18"/>
                <w:lang w:bidi="ar"/>
              </w:rPr>
              <w:t>单机容量</w:t>
            </w:r>
            <w:r w:rsidRPr="00492281">
              <w:rPr>
                <w:rStyle w:val="19"/>
                <w:rFonts w:ascii="宋体" w:eastAsia="宋体" w:hAnsi="宋体" w:cs="Times New Roman" w:hint="default"/>
                <w:sz w:val="18"/>
                <w:szCs w:val="18"/>
                <w:lang w:bidi="ar"/>
              </w:rPr>
              <w:t>300MW</w:t>
            </w:r>
            <w:r w:rsidRPr="00492281">
              <w:rPr>
                <w:rStyle w:val="19"/>
                <w:rFonts w:ascii="宋体" w:eastAsia="宋体" w:hAnsi="宋体" w:hint="default"/>
                <w:sz w:val="18"/>
                <w:szCs w:val="18"/>
                <w:lang w:bidi="ar"/>
              </w:rPr>
              <w:t xml:space="preserve">以下或总装机容量 </w:t>
            </w:r>
            <w:r w:rsidRPr="00492281">
              <w:rPr>
                <w:rStyle w:val="19"/>
                <w:rFonts w:ascii="宋体" w:eastAsia="宋体" w:hAnsi="宋体" w:cs="Times New Roman" w:hint="default"/>
                <w:sz w:val="18"/>
                <w:szCs w:val="18"/>
                <w:lang w:bidi="ar"/>
              </w:rPr>
              <w:t>600MW</w:t>
            </w:r>
            <w:r w:rsidRPr="00492281">
              <w:rPr>
                <w:rStyle w:val="19"/>
                <w:rFonts w:ascii="宋体" w:eastAsia="宋体" w:hAnsi="宋体" w:hint="default"/>
                <w:sz w:val="18"/>
                <w:szCs w:val="18"/>
                <w:lang w:bidi="ar"/>
              </w:rPr>
              <w:t>以下的中、小型火力发电厂；</w:t>
            </w:r>
            <w:r w:rsidRPr="00492281">
              <w:rPr>
                <w:rStyle w:val="19"/>
                <w:rFonts w:ascii="宋体" w:eastAsia="宋体" w:hAnsi="宋体" w:cs="Times New Roman" w:hint="default"/>
                <w:sz w:val="18"/>
                <w:szCs w:val="18"/>
                <w:lang w:bidi="ar"/>
              </w:rPr>
              <w:t>2.</w:t>
            </w:r>
            <w:r w:rsidRPr="00492281">
              <w:rPr>
                <w:rStyle w:val="19"/>
                <w:rFonts w:ascii="宋体" w:eastAsia="宋体" w:hAnsi="宋体" w:hint="default"/>
                <w:sz w:val="18"/>
                <w:szCs w:val="18"/>
                <w:lang w:bidi="ar"/>
              </w:rPr>
              <w:t>装机容量</w:t>
            </w:r>
            <w:r w:rsidRPr="00492281">
              <w:rPr>
                <w:rStyle w:val="19"/>
                <w:rFonts w:ascii="宋体" w:eastAsia="宋体" w:hAnsi="宋体" w:cs="Times New Roman" w:hint="default"/>
                <w:sz w:val="18"/>
                <w:szCs w:val="18"/>
                <w:lang w:bidi="ar"/>
              </w:rPr>
              <w:t>300MW</w:t>
            </w:r>
            <w:r w:rsidRPr="00492281">
              <w:rPr>
                <w:rStyle w:val="19"/>
                <w:rFonts w:ascii="宋体" w:eastAsia="宋体" w:hAnsi="宋体" w:hint="default"/>
                <w:sz w:val="18"/>
                <w:szCs w:val="18"/>
                <w:lang w:bidi="ar"/>
              </w:rPr>
              <w:t>以下且水库总库容</w:t>
            </w:r>
            <w:r w:rsidRPr="00492281">
              <w:rPr>
                <w:rStyle w:val="19"/>
                <w:rFonts w:ascii="宋体" w:eastAsia="宋体" w:hAnsi="宋体" w:cs="Times New Roman" w:hint="default"/>
                <w:sz w:val="18"/>
                <w:szCs w:val="18"/>
                <w:lang w:bidi="ar"/>
              </w:rPr>
              <w:t>1</w:t>
            </w:r>
            <w:r w:rsidRPr="00492281">
              <w:rPr>
                <w:rStyle w:val="19"/>
                <w:rFonts w:ascii="宋体" w:eastAsia="宋体" w:hAnsi="宋体" w:hint="default"/>
                <w:sz w:val="18"/>
                <w:szCs w:val="18"/>
                <w:lang w:bidi="ar"/>
              </w:rPr>
              <w:t>亿立方米以下的水电枢纽工程</w:t>
            </w:r>
            <w:r w:rsidR="00492281" w:rsidRPr="00492281">
              <w:rPr>
                <w:rStyle w:val="19"/>
                <w:rFonts w:ascii="宋体" w:eastAsia="宋体" w:hAnsi="宋体" w:hint="default"/>
                <w:sz w:val="18"/>
                <w:szCs w:val="18"/>
                <w:lang w:bidi="ar"/>
              </w:rPr>
              <w:t>(</w:t>
            </w:r>
            <w:r w:rsidRPr="00492281">
              <w:rPr>
                <w:rStyle w:val="19"/>
                <w:rFonts w:ascii="宋体" w:eastAsia="宋体" w:hAnsi="宋体" w:hint="default"/>
                <w:sz w:val="18"/>
                <w:szCs w:val="18"/>
                <w:lang w:bidi="ar"/>
              </w:rPr>
              <w:t>包括抽水蓄能电站</w:t>
            </w:r>
            <w:r w:rsidR="00492281" w:rsidRPr="00492281">
              <w:rPr>
                <w:rStyle w:val="19"/>
                <w:rFonts w:ascii="宋体" w:eastAsia="宋体" w:hAnsi="宋体" w:hint="default"/>
                <w:sz w:val="18"/>
                <w:szCs w:val="18"/>
                <w:lang w:bidi="ar"/>
              </w:rPr>
              <w:t>)</w:t>
            </w:r>
            <w:r w:rsidRPr="00492281">
              <w:rPr>
                <w:rStyle w:val="19"/>
                <w:rFonts w:ascii="宋体" w:eastAsia="宋体" w:hAnsi="宋体" w:hint="default"/>
                <w:sz w:val="18"/>
                <w:szCs w:val="18"/>
                <w:lang w:bidi="ar"/>
              </w:rPr>
              <w:t>；</w:t>
            </w:r>
            <w:r w:rsidRPr="00492281">
              <w:rPr>
                <w:rStyle w:val="19"/>
                <w:rFonts w:ascii="宋体" w:eastAsia="宋体" w:hAnsi="宋体" w:cs="Times New Roman" w:hint="default"/>
                <w:sz w:val="18"/>
                <w:szCs w:val="18"/>
                <w:lang w:bidi="ar"/>
              </w:rPr>
              <w:t>3.</w:t>
            </w:r>
            <w:r w:rsidRPr="00492281">
              <w:rPr>
                <w:rStyle w:val="19"/>
                <w:rFonts w:ascii="宋体" w:eastAsia="宋体" w:hAnsi="宋体" w:hint="default"/>
                <w:sz w:val="18"/>
                <w:szCs w:val="18"/>
                <w:lang w:bidi="ar"/>
              </w:rPr>
              <w:t>除枢纽变电站、区域变电站、地区变电站以外的变配电工程。</w:t>
            </w:r>
          </w:p>
        </w:tc>
        <w:tc>
          <w:tcPr>
            <w:tcW w:w="411" w:type="pct"/>
            <w:vMerge/>
            <w:tcBorders>
              <w:top w:val="nil"/>
              <w:left w:val="nil"/>
              <w:bottom w:val="single" w:sz="4" w:space="0" w:color="000000"/>
              <w:right w:val="single" w:sz="4" w:space="0" w:color="000000"/>
            </w:tcBorders>
            <w:vAlign w:val="center"/>
          </w:tcPr>
          <w:p w14:paraId="14419472" w14:textId="77777777" w:rsidR="00D73305" w:rsidRPr="00492281" w:rsidRDefault="00D73305" w:rsidP="00492281">
            <w:pPr>
              <w:spacing w:line="240" w:lineRule="exact"/>
              <w:rPr>
                <w:rFonts w:ascii="宋体" w:eastAsia="宋体" w:hAnsi="宋体"/>
                <w:sz w:val="18"/>
                <w:szCs w:val="18"/>
              </w:rPr>
            </w:pPr>
          </w:p>
        </w:tc>
      </w:tr>
      <w:tr w:rsidR="00492281" w:rsidRPr="00492281" w14:paraId="399F5089"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1EE1F375"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5D45A1A0"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11</w:t>
            </w:r>
          </w:p>
        </w:tc>
        <w:tc>
          <w:tcPr>
            <w:tcW w:w="1998" w:type="pct"/>
            <w:tcBorders>
              <w:top w:val="single" w:sz="4" w:space="0" w:color="000000"/>
              <w:left w:val="nil"/>
              <w:bottom w:val="single" w:sz="4" w:space="0" w:color="000000"/>
              <w:right w:val="single" w:sz="4" w:space="0" w:color="000000"/>
            </w:tcBorders>
            <w:vAlign w:val="center"/>
          </w:tcPr>
          <w:p w14:paraId="535653F6" w14:textId="77777777" w:rsidR="00D73305" w:rsidRPr="00492281" w:rsidRDefault="00D73305" w:rsidP="00492281">
            <w:pPr>
              <w:widowControl/>
              <w:adjustRightInd w:val="0"/>
              <w:spacing w:line="240" w:lineRule="exact"/>
              <w:jc w:val="lef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设置在地下、半地下、木结构建筑内的场所</w:t>
            </w:r>
          </w:p>
        </w:tc>
        <w:tc>
          <w:tcPr>
            <w:tcW w:w="1902" w:type="pct"/>
            <w:vMerge w:val="restart"/>
            <w:tcBorders>
              <w:top w:val="nil"/>
              <w:left w:val="nil"/>
              <w:bottom w:val="nil"/>
              <w:right w:val="single" w:sz="4" w:space="0" w:color="000000"/>
            </w:tcBorders>
            <w:vAlign w:val="center"/>
          </w:tcPr>
          <w:p w14:paraId="31DFE03B"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p>
        </w:tc>
        <w:tc>
          <w:tcPr>
            <w:tcW w:w="411" w:type="pct"/>
            <w:vMerge/>
            <w:tcBorders>
              <w:top w:val="nil"/>
              <w:left w:val="nil"/>
              <w:bottom w:val="single" w:sz="4" w:space="0" w:color="000000"/>
              <w:right w:val="single" w:sz="4" w:space="0" w:color="000000"/>
            </w:tcBorders>
            <w:vAlign w:val="center"/>
          </w:tcPr>
          <w:p w14:paraId="74AA056E" w14:textId="77777777" w:rsidR="00D73305" w:rsidRPr="00492281" w:rsidRDefault="00D73305" w:rsidP="00492281">
            <w:pPr>
              <w:spacing w:line="240" w:lineRule="exact"/>
              <w:rPr>
                <w:rFonts w:ascii="宋体" w:eastAsia="宋体" w:hAnsi="宋体"/>
                <w:sz w:val="18"/>
                <w:szCs w:val="18"/>
              </w:rPr>
            </w:pPr>
          </w:p>
        </w:tc>
      </w:tr>
      <w:tr w:rsidR="00492281" w:rsidRPr="00492281" w14:paraId="5AD1E230"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2FE1701C"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7696C1ED"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12</w:t>
            </w:r>
          </w:p>
        </w:tc>
        <w:tc>
          <w:tcPr>
            <w:tcW w:w="1998" w:type="pct"/>
            <w:tcBorders>
              <w:top w:val="single" w:sz="4" w:space="0" w:color="000000"/>
              <w:left w:val="nil"/>
              <w:bottom w:val="single" w:sz="4" w:space="0" w:color="000000"/>
              <w:right w:val="single" w:sz="4" w:space="0" w:color="000000"/>
            </w:tcBorders>
            <w:vAlign w:val="center"/>
          </w:tcPr>
          <w:p w14:paraId="109AA68C"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设置电动汽车、电动自行车销售</w:t>
            </w:r>
            <w:r w:rsidRPr="00492281">
              <w:rPr>
                <w:rStyle w:val="19"/>
                <w:rFonts w:ascii="宋体" w:eastAsia="宋体" w:hAnsi="宋体" w:cs="Times New Roman" w:hint="default"/>
                <w:sz w:val="18"/>
                <w:szCs w:val="18"/>
                <w:lang w:bidi="ar"/>
              </w:rPr>
              <w:t>或</w:t>
            </w:r>
            <w:r w:rsidRPr="00492281">
              <w:rPr>
                <w:rStyle w:val="19"/>
                <w:rFonts w:ascii="宋体" w:eastAsia="宋体" w:hAnsi="宋体" w:hint="default"/>
                <w:sz w:val="18"/>
                <w:szCs w:val="18"/>
                <w:lang w:bidi="ar"/>
              </w:rPr>
              <w:t>维修的场所</w:t>
            </w:r>
          </w:p>
        </w:tc>
        <w:tc>
          <w:tcPr>
            <w:tcW w:w="1902" w:type="pct"/>
            <w:vMerge/>
            <w:tcBorders>
              <w:top w:val="nil"/>
              <w:left w:val="nil"/>
              <w:bottom w:val="nil"/>
              <w:right w:val="single" w:sz="4" w:space="0" w:color="000000"/>
            </w:tcBorders>
            <w:vAlign w:val="center"/>
          </w:tcPr>
          <w:p w14:paraId="17F40FAB" w14:textId="77777777" w:rsidR="00D73305" w:rsidRPr="00492281" w:rsidRDefault="00D73305" w:rsidP="00492281">
            <w:pPr>
              <w:spacing w:line="240" w:lineRule="exact"/>
              <w:rPr>
                <w:rFonts w:ascii="宋体" w:eastAsia="宋体" w:hAnsi="宋体"/>
                <w:sz w:val="18"/>
                <w:szCs w:val="18"/>
              </w:rPr>
            </w:pPr>
          </w:p>
        </w:tc>
        <w:tc>
          <w:tcPr>
            <w:tcW w:w="411" w:type="pct"/>
            <w:vMerge/>
            <w:tcBorders>
              <w:top w:val="nil"/>
              <w:left w:val="nil"/>
              <w:bottom w:val="single" w:sz="4" w:space="0" w:color="000000"/>
              <w:right w:val="single" w:sz="4" w:space="0" w:color="000000"/>
            </w:tcBorders>
            <w:vAlign w:val="center"/>
          </w:tcPr>
          <w:p w14:paraId="0909DF8D" w14:textId="77777777" w:rsidR="00D73305" w:rsidRPr="00492281" w:rsidRDefault="00D73305" w:rsidP="00492281">
            <w:pPr>
              <w:spacing w:line="240" w:lineRule="exact"/>
              <w:rPr>
                <w:rFonts w:ascii="宋体" w:eastAsia="宋体" w:hAnsi="宋体"/>
                <w:sz w:val="18"/>
                <w:szCs w:val="18"/>
              </w:rPr>
            </w:pPr>
          </w:p>
        </w:tc>
      </w:tr>
      <w:tr w:rsidR="00492281" w:rsidRPr="00492281" w14:paraId="0CEA9E81"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40DF2D98"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4CE4F81C"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13</w:t>
            </w:r>
          </w:p>
        </w:tc>
        <w:tc>
          <w:tcPr>
            <w:tcW w:w="1998" w:type="pct"/>
            <w:tcBorders>
              <w:top w:val="single" w:sz="4" w:space="0" w:color="000000"/>
              <w:left w:val="nil"/>
              <w:bottom w:val="single" w:sz="4" w:space="0" w:color="000000"/>
              <w:right w:val="single" w:sz="4" w:space="0" w:color="000000"/>
            </w:tcBorders>
            <w:vAlign w:val="center"/>
          </w:tcPr>
          <w:p w14:paraId="070F267D"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就餐区域设置使用明火的烧烤、火锅等餐饮场所</w:t>
            </w:r>
          </w:p>
        </w:tc>
        <w:tc>
          <w:tcPr>
            <w:tcW w:w="1902" w:type="pct"/>
            <w:vMerge/>
            <w:tcBorders>
              <w:top w:val="nil"/>
              <w:left w:val="nil"/>
              <w:bottom w:val="nil"/>
              <w:right w:val="single" w:sz="4" w:space="0" w:color="000000"/>
            </w:tcBorders>
            <w:vAlign w:val="center"/>
          </w:tcPr>
          <w:p w14:paraId="6B44347E" w14:textId="77777777" w:rsidR="00D73305" w:rsidRPr="00492281" w:rsidRDefault="00D73305" w:rsidP="00492281">
            <w:pPr>
              <w:spacing w:line="240" w:lineRule="exact"/>
              <w:rPr>
                <w:rFonts w:ascii="宋体" w:eastAsia="宋体" w:hAnsi="宋体"/>
                <w:sz w:val="18"/>
                <w:szCs w:val="18"/>
              </w:rPr>
            </w:pPr>
          </w:p>
        </w:tc>
        <w:tc>
          <w:tcPr>
            <w:tcW w:w="411" w:type="pct"/>
            <w:vMerge/>
            <w:tcBorders>
              <w:top w:val="nil"/>
              <w:left w:val="nil"/>
              <w:bottom w:val="single" w:sz="4" w:space="0" w:color="000000"/>
              <w:right w:val="single" w:sz="4" w:space="0" w:color="000000"/>
            </w:tcBorders>
            <w:vAlign w:val="center"/>
          </w:tcPr>
          <w:p w14:paraId="329EB09F" w14:textId="77777777" w:rsidR="00D73305" w:rsidRPr="00492281" w:rsidRDefault="00D73305" w:rsidP="00492281">
            <w:pPr>
              <w:spacing w:line="240" w:lineRule="exact"/>
              <w:rPr>
                <w:rFonts w:ascii="宋体" w:eastAsia="宋体" w:hAnsi="宋体"/>
                <w:sz w:val="18"/>
                <w:szCs w:val="18"/>
              </w:rPr>
            </w:pPr>
          </w:p>
        </w:tc>
      </w:tr>
      <w:tr w:rsidR="00492281" w:rsidRPr="00492281" w14:paraId="6CC48E23"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1FCF6D11"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7397F379"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14</w:t>
            </w:r>
          </w:p>
        </w:tc>
        <w:tc>
          <w:tcPr>
            <w:tcW w:w="1998" w:type="pct"/>
            <w:tcBorders>
              <w:top w:val="single" w:sz="4" w:space="0" w:color="000000"/>
              <w:left w:val="nil"/>
              <w:bottom w:val="single" w:sz="4" w:space="0" w:color="000000"/>
              <w:right w:val="single" w:sz="4" w:space="0" w:color="000000"/>
            </w:tcBorders>
            <w:vAlign w:val="center"/>
          </w:tcPr>
          <w:p w14:paraId="2764620B"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设置在历史文化街区、历史建筑、工业遗存建筑区域内的场所</w:t>
            </w:r>
          </w:p>
        </w:tc>
        <w:tc>
          <w:tcPr>
            <w:tcW w:w="1902" w:type="pct"/>
            <w:vMerge/>
            <w:tcBorders>
              <w:top w:val="nil"/>
              <w:left w:val="nil"/>
              <w:bottom w:val="nil"/>
              <w:right w:val="single" w:sz="4" w:space="0" w:color="000000"/>
            </w:tcBorders>
            <w:vAlign w:val="center"/>
          </w:tcPr>
          <w:p w14:paraId="511207DA" w14:textId="77777777" w:rsidR="00D73305" w:rsidRPr="00492281" w:rsidRDefault="00D73305" w:rsidP="00492281">
            <w:pPr>
              <w:spacing w:line="240" w:lineRule="exact"/>
              <w:rPr>
                <w:rFonts w:ascii="宋体" w:eastAsia="宋体" w:hAnsi="宋体"/>
                <w:sz w:val="18"/>
                <w:szCs w:val="18"/>
              </w:rPr>
            </w:pPr>
          </w:p>
        </w:tc>
        <w:tc>
          <w:tcPr>
            <w:tcW w:w="411" w:type="pct"/>
            <w:vMerge/>
            <w:tcBorders>
              <w:top w:val="nil"/>
              <w:left w:val="nil"/>
              <w:bottom w:val="single" w:sz="4" w:space="0" w:color="000000"/>
              <w:right w:val="single" w:sz="4" w:space="0" w:color="000000"/>
            </w:tcBorders>
            <w:vAlign w:val="center"/>
          </w:tcPr>
          <w:p w14:paraId="3BC41774" w14:textId="77777777" w:rsidR="00D73305" w:rsidRPr="00492281" w:rsidRDefault="00D73305" w:rsidP="00492281">
            <w:pPr>
              <w:spacing w:line="240" w:lineRule="exact"/>
              <w:rPr>
                <w:rFonts w:ascii="宋体" w:eastAsia="宋体" w:hAnsi="宋体"/>
                <w:sz w:val="18"/>
                <w:szCs w:val="18"/>
              </w:rPr>
            </w:pPr>
          </w:p>
        </w:tc>
      </w:tr>
      <w:tr w:rsidR="00492281" w:rsidRPr="00492281" w14:paraId="3E882488"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4B8DBC1E"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177697DA"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15</w:t>
            </w:r>
          </w:p>
        </w:tc>
        <w:tc>
          <w:tcPr>
            <w:tcW w:w="1998" w:type="pct"/>
            <w:tcBorders>
              <w:top w:val="single" w:sz="4" w:space="0" w:color="000000"/>
              <w:left w:val="nil"/>
              <w:bottom w:val="single" w:sz="4" w:space="0" w:color="000000"/>
              <w:right w:val="single" w:sz="4" w:space="0" w:color="000000"/>
            </w:tcBorders>
            <w:vAlign w:val="center"/>
          </w:tcPr>
          <w:p w14:paraId="3BAC4E94"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室内冰雪</w:t>
            </w:r>
            <w:r w:rsidRPr="00492281">
              <w:rPr>
                <w:rStyle w:val="19"/>
                <w:rFonts w:ascii="宋体" w:eastAsia="宋体" w:hAnsi="宋体" w:cs="Times New Roman" w:hint="default"/>
                <w:sz w:val="18"/>
                <w:szCs w:val="18"/>
                <w:lang w:bidi="ar"/>
              </w:rPr>
              <w:t>活动</w:t>
            </w:r>
            <w:r w:rsidRPr="00492281">
              <w:rPr>
                <w:rStyle w:val="19"/>
                <w:rFonts w:ascii="宋体" w:eastAsia="宋体" w:hAnsi="宋体" w:hint="default"/>
                <w:sz w:val="18"/>
                <w:szCs w:val="18"/>
                <w:lang w:bidi="ar"/>
              </w:rPr>
              <w:t>场所</w:t>
            </w:r>
          </w:p>
        </w:tc>
        <w:tc>
          <w:tcPr>
            <w:tcW w:w="1902" w:type="pct"/>
            <w:tcBorders>
              <w:top w:val="single" w:sz="4" w:space="0" w:color="000000"/>
              <w:left w:val="nil"/>
              <w:bottom w:val="single" w:sz="4" w:space="0" w:color="000000"/>
              <w:right w:val="single" w:sz="4" w:space="0" w:color="000000"/>
            </w:tcBorders>
            <w:vAlign w:val="center"/>
          </w:tcPr>
          <w:p w14:paraId="5C4F4913" w14:textId="17CC1180"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w:t>
            </w:r>
          </w:p>
        </w:tc>
        <w:tc>
          <w:tcPr>
            <w:tcW w:w="411" w:type="pct"/>
            <w:vMerge/>
            <w:tcBorders>
              <w:top w:val="nil"/>
              <w:left w:val="nil"/>
              <w:bottom w:val="single" w:sz="4" w:space="0" w:color="000000"/>
              <w:right w:val="single" w:sz="4" w:space="0" w:color="000000"/>
            </w:tcBorders>
            <w:vAlign w:val="center"/>
          </w:tcPr>
          <w:p w14:paraId="68B3386A" w14:textId="77777777" w:rsidR="00D73305" w:rsidRPr="00492281" w:rsidRDefault="00D73305" w:rsidP="00492281">
            <w:pPr>
              <w:spacing w:line="240" w:lineRule="exact"/>
              <w:rPr>
                <w:rFonts w:ascii="宋体" w:eastAsia="宋体" w:hAnsi="宋体"/>
                <w:sz w:val="18"/>
                <w:szCs w:val="18"/>
              </w:rPr>
            </w:pPr>
          </w:p>
        </w:tc>
      </w:tr>
      <w:tr w:rsidR="00492281" w:rsidRPr="00492281" w14:paraId="2F64764D"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07EE5013"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5C829422"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16</w:t>
            </w:r>
          </w:p>
        </w:tc>
        <w:tc>
          <w:tcPr>
            <w:tcW w:w="1998" w:type="pct"/>
            <w:tcBorders>
              <w:top w:val="single" w:sz="4" w:space="0" w:color="000000"/>
              <w:left w:val="nil"/>
              <w:bottom w:val="single" w:sz="4" w:space="0" w:color="000000"/>
              <w:right w:val="single" w:sz="4" w:space="0" w:color="000000"/>
            </w:tcBorders>
            <w:vAlign w:val="center"/>
          </w:tcPr>
          <w:p w14:paraId="1879D524"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申请</w:t>
            </w:r>
            <w:proofErr w:type="gramStart"/>
            <w:r w:rsidRPr="00492281">
              <w:rPr>
                <w:rStyle w:val="19"/>
                <w:rFonts w:ascii="宋体" w:eastAsia="宋体" w:hAnsi="宋体" w:hint="default"/>
                <w:sz w:val="18"/>
                <w:szCs w:val="18"/>
                <w:lang w:bidi="ar"/>
              </w:rPr>
              <w:t>局部消防</w:t>
            </w:r>
            <w:proofErr w:type="gramEnd"/>
            <w:r w:rsidRPr="00492281">
              <w:rPr>
                <w:rStyle w:val="19"/>
                <w:rFonts w:ascii="宋体" w:eastAsia="宋体" w:hAnsi="宋体" w:hint="default"/>
                <w:sz w:val="18"/>
                <w:szCs w:val="18"/>
                <w:lang w:bidi="ar"/>
              </w:rPr>
              <w:t>验收备案的</w:t>
            </w:r>
          </w:p>
        </w:tc>
        <w:tc>
          <w:tcPr>
            <w:tcW w:w="1902" w:type="pct"/>
            <w:tcBorders>
              <w:top w:val="single" w:sz="4" w:space="0" w:color="000000"/>
              <w:left w:val="nil"/>
              <w:bottom w:val="single" w:sz="4" w:space="0" w:color="000000"/>
              <w:right w:val="single" w:sz="4" w:space="0" w:color="000000"/>
            </w:tcBorders>
            <w:vAlign w:val="center"/>
          </w:tcPr>
          <w:p w14:paraId="14F27210" w14:textId="0AC8223C"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w:t>
            </w:r>
          </w:p>
        </w:tc>
        <w:tc>
          <w:tcPr>
            <w:tcW w:w="411" w:type="pct"/>
            <w:vMerge w:val="restart"/>
            <w:tcBorders>
              <w:top w:val="nil"/>
              <w:left w:val="nil"/>
              <w:bottom w:val="single" w:sz="4" w:space="0" w:color="000000"/>
              <w:right w:val="single" w:sz="4" w:space="0" w:color="000000"/>
            </w:tcBorders>
            <w:vAlign w:val="center"/>
          </w:tcPr>
          <w:p w14:paraId="340E9B31"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100%</w:t>
            </w:r>
          </w:p>
        </w:tc>
      </w:tr>
      <w:tr w:rsidR="00492281" w:rsidRPr="00492281" w14:paraId="7DBA16E0"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3C1B3719"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7B1D8CBA"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17</w:t>
            </w:r>
          </w:p>
        </w:tc>
        <w:tc>
          <w:tcPr>
            <w:tcW w:w="1998" w:type="pct"/>
            <w:tcBorders>
              <w:top w:val="single" w:sz="4" w:space="0" w:color="000000"/>
              <w:left w:val="nil"/>
              <w:bottom w:val="single" w:sz="4" w:space="0" w:color="000000"/>
              <w:right w:val="single" w:sz="4" w:space="0" w:color="000000"/>
            </w:tcBorders>
            <w:vAlign w:val="center"/>
          </w:tcPr>
          <w:p w14:paraId="37ACA2D3"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未依法申报消防验收备案，被实施处罚的</w:t>
            </w:r>
          </w:p>
        </w:tc>
        <w:tc>
          <w:tcPr>
            <w:tcW w:w="1902" w:type="pct"/>
            <w:tcBorders>
              <w:top w:val="single" w:sz="4" w:space="0" w:color="000000"/>
              <w:left w:val="nil"/>
              <w:bottom w:val="single" w:sz="4" w:space="0" w:color="000000"/>
              <w:right w:val="single" w:sz="4" w:space="0" w:color="000000"/>
            </w:tcBorders>
            <w:vAlign w:val="center"/>
          </w:tcPr>
          <w:p w14:paraId="74EF37D0" w14:textId="3AD61D42"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w:t>
            </w:r>
          </w:p>
        </w:tc>
        <w:tc>
          <w:tcPr>
            <w:tcW w:w="411" w:type="pct"/>
            <w:vMerge/>
            <w:tcBorders>
              <w:top w:val="nil"/>
              <w:left w:val="nil"/>
              <w:bottom w:val="single" w:sz="4" w:space="0" w:color="000000"/>
              <w:right w:val="single" w:sz="4" w:space="0" w:color="000000"/>
            </w:tcBorders>
            <w:vAlign w:val="center"/>
          </w:tcPr>
          <w:p w14:paraId="183D2B7D" w14:textId="77777777" w:rsidR="00D73305" w:rsidRPr="00492281" w:rsidRDefault="00D73305" w:rsidP="00492281">
            <w:pPr>
              <w:spacing w:line="240" w:lineRule="exact"/>
              <w:rPr>
                <w:rFonts w:ascii="宋体" w:eastAsia="宋体" w:hAnsi="宋体"/>
                <w:sz w:val="18"/>
                <w:szCs w:val="18"/>
              </w:rPr>
            </w:pPr>
          </w:p>
        </w:tc>
      </w:tr>
      <w:tr w:rsidR="00492281" w:rsidRPr="00492281" w14:paraId="783194AF" w14:textId="77777777" w:rsidTr="00492281">
        <w:trPr>
          <w:trHeight w:val="340"/>
        </w:trPr>
        <w:tc>
          <w:tcPr>
            <w:tcW w:w="345" w:type="pct"/>
            <w:vMerge/>
            <w:tcBorders>
              <w:top w:val="nil"/>
              <w:left w:val="single" w:sz="4" w:space="0" w:color="000000"/>
              <w:bottom w:val="single" w:sz="4" w:space="0" w:color="000000"/>
              <w:right w:val="single" w:sz="4" w:space="0" w:color="000000"/>
            </w:tcBorders>
            <w:vAlign w:val="center"/>
          </w:tcPr>
          <w:p w14:paraId="670C7F9E" w14:textId="77777777" w:rsidR="00D73305" w:rsidRPr="00492281" w:rsidRDefault="00D73305" w:rsidP="00492281">
            <w:pPr>
              <w:spacing w:line="240" w:lineRule="exact"/>
              <w:rPr>
                <w:rFonts w:ascii="宋体" w:eastAsia="宋体" w:hAnsi="宋体"/>
                <w:sz w:val="18"/>
                <w:szCs w:val="18"/>
              </w:rPr>
            </w:pPr>
          </w:p>
        </w:tc>
        <w:tc>
          <w:tcPr>
            <w:tcW w:w="344" w:type="pct"/>
            <w:tcBorders>
              <w:top w:val="single" w:sz="4" w:space="0" w:color="000000"/>
              <w:left w:val="nil"/>
              <w:bottom w:val="single" w:sz="4" w:space="0" w:color="000000"/>
              <w:right w:val="single" w:sz="4" w:space="0" w:color="000000"/>
            </w:tcBorders>
            <w:vAlign w:val="center"/>
          </w:tcPr>
          <w:p w14:paraId="6588AE22"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18</w:t>
            </w:r>
          </w:p>
        </w:tc>
        <w:tc>
          <w:tcPr>
            <w:tcW w:w="1998" w:type="pct"/>
            <w:tcBorders>
              <w:top w:val="single" w:sz="4" w:space="0" w:color="000000"/>
              <w:left w:val="nil"/>
              <w:bottom w:val="single" w:sz="4" w:space="0" w:color="000000"/>
              <w:right w:val="single" w:sz="4" w:space="0" w:color="000000"/>
            </w:tcBorders>
            <w:vAlign w:val="center"/>
          </w:tcPr>
          <w:p w14:paraId="478D311B"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9"/>
                <w:rFonts w:ascii="宋体" w:eastAsia="宋体" w:hAnsi="宋体" w:hint="default"/>
                <w:sz w:val="18"/>
                <w:szCs w:val="18"/>
                <w:lang w:bidi="ar"/>
              </w:rPr>
              <w:t>采用告知承诺制方式申请消防验收备案，被发现存在弄虚作假行为，重新申请消防验收备案的</w:t>
            </w:r>
          </w:p>
        </w:tc>
        <w:tc>
          <w:tcPr>
            <w:tcW w:w="1902" w:type="pct"/>
            <w:tcBorders>
              <w:top w:val="single" w:sz="4" w:space="0" w:color="000000"/>
              <w:left w:val="nil"/>
              <w:bottom w:val="single" w:sz="4" w:space="0" w:color="000000"/>
              <w:right w:val="single" w:sz="4" w:space="0" w:color="000000"/>
            </w:tcBorders>
            <w:vAlign w:val="center"/>
          </w:tcPr>
          <w:p w14:paraId="0EA1C216" w14:textId="432D2F10"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Fonts w:ascii="宋体" w:eastAsia="宋体" w:hAnsi="宋体"/>
                <w:color w:val="000000"/>
                <w:sz w:val="18"/>
                <w:szCs w:val="18"/>
                <w:lang w:bidi="ar"/>
              </w:rPr>
              <w:t>—</w:t>
            </w:r>
          </w:p>
        </w:tc>
        <w:tc>
          <w:tcPr>
            <w:tcW w:w="411" w:type="pct"/>
            <w:vMerge/>
            <w:tcBorders>
              <w:top w:val="nil"/>
              <w:left w:val="nil"/>
              <w:bottom w:val="single" w:sz="4" w:space="0" w:color="000000"/>
              <w:right w:val="single" w:sz="4" w:space="0" w:color="000000"/>
            </w:tcBorders>
            <w:vAlign w:val="center"/>
          </w:tcPr>
          <w:p w14:paraId="6E9F8155" w14:textId="77777777" w:rsidR="00D73305" w:rsidRPr="00492281" w:rsidRDefault="00D73305" w:rsidP="00492281">
            <w:pPr>
              <w:spacing w:line="240" w:lineRule="exact"/>
              <w:rPr>
                <w:rFonts w:ascii="宋体" w:eastAsia="宋体" w:hAnsi="宋体"/>
                <w:sz w:val="18"/>
                <w:szCs w:val="18"/>
              </w:rPr>
            </w:pPr>
          </w:p>
        </w:tc>
      </w:tr>
      <w:tr w:rsidR="00D73305" w:rsidRPr="00492281" w14:paraId="0F47B45F" w14:textId="77777777" w:rsidTr="00492281">
        <w:trPr>
          <w:trHeight w:val="340"/>
        </w:trPr>
        <w:tc>
          <w:tcPr>
            <w:tcW w:w="345" w:type="pct"/>
            <w:tcBorders>
              <w:top w:val="single" w:sz="4" w:space="0" w:color="000000"/>
              <w:left w:val="single" w:sz="4" w:space="0" w:color="000000"/>
              <w:bottom w:val="single" w:sz="4" w:space="0" w:color="000000"/>
              <w:right w:val="single" w:sz="4" w:space="0" w:color="000000"/>
            </w:tcBorders>
            <w:vAlign w:val="center"/>
          </w:tcPr>
          <w:p w14:paraId="2121F2B0"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Style w:val="16"/>
                <w:rFonts w:ascii="宋体" w:eastAsia="宋体" w:hAnsi="宋体" w:hint="default"/>
                <w:sz w:val="18"/>
                <w:szCs w:val="18"/>
                <w:lang w:bidi="ar"/>
              </w:rPr>
              <w:t>一般项目</w:t>
            </w:r>
          </w:p>
        </w:tc>
        <w:tc>
          <w:tcPr>
            <w:tcW w:w="4244" w:type="pct"/>
            <w:gridSpan w:val="3"/>
            <w:tcBorders>
              <w:top w:val="single" w:sz="4" w:space="0" w:color="000000"/>
              <w:left w:val="nil"/>
              <w:bottom w:val="single" w:sz="4" w:space="0" w:color="000000"/>
              <w:right w:val="single" w:sz="4" w:space="0" w:color="000000"/>
            </w:tcBorders>
            <w:vAlign w:val="center"/>
          </w:tcPr>
          <w:p w14:paraId="2E68202E" w14:textId="77777777" w:rsidR="00D73305" w:rsidRPr="00492281" w:rsidRDefault="00D73305" w:rsidP="00492281">
            <w:pPr>
              <w:widowControl/>
              <w:adjustRightInd w:val="0"/>
              <w:spacing w:line="240" w:lineRule="exact"/>
              <w:jc w:val="center"/>
              <w:textAlignment w:val="center"/>
              <w:rPr>
                <w:rFonts w:ascii="宋体" w:eastAsia="宋体" w:hAnsi="宋体"/>
                <w:color w:val="000000"/>
                <w:sz w:val="18"/>
                <w:szCs w:val="18"/>
              </w:rPr>
            </w:pPr>
            <w:r w:rsidRPr="00492281">
              <w:rPr>
                <w:rStyle w:val="16"/>
                <w:rFonts w:ascii="宋体" w:eastAsia="宋体" w:hAnsi="宋体" w:hint="default"/>
                <w:sz w:val="18"/>
                <w:szCs w:val="18"/>
                <w:lang w:bidi="ar"/>
              </w:rPr>
              <w:t>除重点项目以外的其他建设工程</w:t>
            </w:r>
          </w:p>
        </w:tc>
        <w:tc>
          <w:tcPr>
            <w:tcW w:w="411" w:type="pct"/>
            <w:tcBorders>
              <w:top w:val="single" w:sz="4" w:space="0" w:color="000000"/>
              <w:left w:val="nil"/>
              <w:bottom w:val="single" w:sz="4" w:space="0" w:color="000000"/>
              <w:right w:val="single" w:sz="4" w:space="0" w:color="000000"/>
            </w:tcBorders>
            <w:vAlign w:val="center"/>
          </w:tcPr>
          <w:p w14:paraId="6BA7612C" w14:textId="77777777" w:rsidR="00D73305" w:rsidRPr="00492281" w:rsidRDefault="00D73305" w:rsidP="00492281">
            <w:pPr>
              <w:widowControl/>
              <w:adjustRightInd w:val="0"/>
              <w:spacing w:line="240" w:lineRule="exact"/>
              <w:textAlignment w:val="center"/>
              <w:rPr>
                <w:rFonts w:ascii="宋体" w:eastAsia="宋体" w:hAnsi="宋体"/>
                <w:color w:val="000000"/>
                <w:sz w:val="18"/>
                <w:szCs w:val="18"/>
              </w:rPr>
            </w:pPr>
            <w:r w:rsidRPr="00492281">
              <w:rPr>
                <w:rStyle w:val="18"/>
                <w:rFonts w:ascii="宋体" w:eastAsia="宋体" w:hAnsi="宋体"/>
                <w:sz w:val="18"/>
                <w:szCs w:val="18"/>
                <w:lang w:bidi="ar"/>
              </w:rPr>
              <w:t>5%</w:t>
            </w:r>
            <w:r w:rsidRPr="00492281">
              <w:rPr>
                <w:rStyle w:val="16"/>
                <w:rFonts w:ascii="宋体" w:eastAsia="宋体" w:hAnsi="宋体" w:hint="default"/>
                <w:sz w:val="18"/>
                <w:szCs w:val="18"/>
                <w:lang w:bidi="ar"/>
              </w:rPr>
              <w:t>，采用告知承诺制方式申请备案的，按</w:t>
            </w:r>
            <w:r w:rsidRPr="00492281">
              <w:rPr>
                <w:rStyle w:val="18"/>
                <w:rFonts w:ascii="宋体" w:eastAsia="宋体" w:hAnsi="宋体"/>
                <w:sz w:val="18"/>
                <w:szCs w:val="18"/>
                <w:lang w:bidi="ar"/>
              </w:rPr>
              <w:t>1%</w:t>
            </w:r>
            <w:r w:rsidRPr="00492281">
              <w:rPr>
                <w:rStyle w:val="16"/>
                <w:rFonts w:ascii="宋体" w:eastAsia="宋体" w:hAnsi="宋体" w:hint="default"/>
                <w:sz w:val="18"/>
                <w:szCs w:val="18"/>
                <w:lang w:bidi="ar"/>
              </w:rPr>
              <w:t>比例抽查。</w:t>
            </w:r>
          </w:p>
        </w:tc>
      </w:tr>
    </w:tbl>
    <w:p w14:paraId="3724B6FD" w14:textId="77777777" w:rsidR="00D73305" w:rsidRPr="00D73305" w:rsidRDefault="00D73305">
      <w:pPr>
        <w:rPr>
          <w:rFonts w:hint="eastAsia"/>
        </w:rPr>
      </w:pPr>
    </w:p>
    <w:sectPr w:rsidR="00D73305" w:rsidRPr="00D73305" w:rsidSect="0010181C">
      <w:pgSz w:w="11907" w:h="16840" w:orient="landscape" w:code="9"/>
      <w:pgMar w:top="1134" w:right="1134" w:bottom="1134" w:left="1134" w:header="567" w:footer="680"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35"/>
    <w:rsid w:val="00096A18"/>
    <w:rsid w:val="0010181C"/>
    <w:rsid w:val="001C0040"/>
    <w:rsid w:val="002376E4"/>
    <w:rsid w:val="002B76CF"/>
    <w:rsid w:val="00410EAC"/>
    <w:rsid w:val="00412EE6"/>
    <w:rsid w:val="00471C14"/>
    <w:rsid w:val="00492281"/>
    <w:rsid w:val="006A12DE"/>
    <w:rsid w:val="006D5AE5"/>
    <w:rsid w:val="008B2648"/>
    <w:rsid w:val="00A766C7"/>
    <w:rsid w:val="00B44F19"/>
    <w:rsid w:val="00C01781"/>
    <w:rsid w:val="00D73305"/>
    <w:rsid w:val="00D81966"/>
    <w:rsid w:val="00DB041C"/>
    <w:rsid w:val="00F34E56"/>
    <w:rsid w:val="00F40035"/>
    <w:rsid w:val="00F8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F7183"/>
  <w15:chartTrackingRefBased/>
  <w15:docId w15:val="{5BDC2BD0-21F2-4AB2-9EC6-FC0BA4C4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003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4003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4003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4003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4003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4003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4003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03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40035"/>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uiPriority w:val="39"/>
    <w:qFormat/>
    <w:rsid w:val="002376E4"/>
    <w:pPr>
      <w:tabs>
        <w:tab w:val="right" w:leader="dot" w:pos="9175"/>
      </w:tabs>
      <w:adjustRightInd w:val="0"/>
      <w:snapToGrid w:val="0"/>
      <w:jc w:val="left"/>
    </w:pPr>
    <w:rPr>
      <w:rFonts w:ascii="宋体" w:eastAsia="宋体" w:hAnsi="宋体" w:cs="Times New Roman"/>
      <w:snapToGrid w:val="0"/>
      <w:color w:val="000000" w:themeColor="text1"/>
      <w:kern w:val="0"/>
      <w:sz w:val="28"/>
    </w:rPr>
  </w:style>
  <w:style w:type="paragraph" w:styleId="TOC2">
    <w:name w:val="toc 2"/>
    <w:basedOn w:val="a"/>
    <w:next w:val="a"/>
    <w:autoRedefine/>
    <w:uiPriority w:val="39"/>
    <w:qFormat/>
    <w:rsid w:val="002376E4"/>
    <w:pPr>
      <w:ind w:leftChars="150" w:left="150"/>
    </w:pPr>
    <w:rPr>
      <w:rFonts w:ascii="宋体" w:eastAsia="宋体" w:hAnsi="宋体" w:cs="Times New Roman"/>
      <w:snapToGrid w:val="0"/>
      <w:color w:val="000000" w:themeColor="text1"/>
      <w:kern w:val="0"/>
      <w:sz w:val="28"/>
    </w:rPr>
  </w:style>
  <w:style w:type="paragraph" w:styleId="TOC3">
    <w:name w:val="toc 3"/>
    <w:basedOn w:val="a"/>
    <w:next w:val="a"/>
    <w:autoRedefine/>
    <w:uiPriority w:val="39"/>
    <w:qFormat/>
    <w:rsid w:val="002376E4"/>
    <w:pPr>
      <w:adjustRightInd w:val="0"/>
      <w:snapToGrid w:val="0"/>
      <w:ind w:leftChars="300" w:left="300"/>
    </w:pPr>
    <w:rPr>
      <w:rFonts w:ascii="宋体" w:eastAsia="宋体" w:hAnsi="宋体" w:cs="Times New Roman"/>
      <w:snapToGrid w:val="0"/>
      <w:color w:val="000000" w:themeColor="text1"/>
      <w:kern w:val="0"/>
      <w:sz w:val="28"/>
    </w:rPr>
  </w:style>
  <w:style w:type="paragraph" w:styleId="TOC4">
    <w:name w:val="toc 4"/>
    <w:basedOn w:val="a"/>
    <w:next w:val="a"/>
    <w:autoRedefine/>
    <w:uiPriority w:val="39"/>
    <w:qFormat/>
    <w:rsid w:val="002376E4"/>
    <w:pPr>
      <w:adjustRightInd w:val="0"/>
      <w:snapToGrid w:val="0"/>
      <w:ind w:leftChars="450" w:left="450"/>
      <w:jc w:val="left"/>
    </w:pPr>
    <w:rPr>
      <w:rFonts w:ascii="宋体" w:eastAsia="宋体" w:hAnsi="宋体" w:cs="Times New Roman"/>
      <w:snapToGrid w:val="0"/>
      <w:color w:val="000000" w:themeColor="text1"/>
      <w:kern w:val="0"/>
      <w:sz w:val="28"/>
    </w:rPr>
  </w:style>
  <w:style w:type="paragraph" w:styleId="TOC5">
    <w:name w:val="toc 5"/>
    <w:basedOn w:val="a"/>
    <w:next w:val="a"/>
    <w:autoRedefine/>
    <w:uiPriority w:val="39"/>
    <w:unhideWhenUsed/>
    <w:qFormat/>
    <w:rsid w:val="002376E4"/>
    <w:pPr>
      <w:adjustRightInd w:val="0"/>
      <w:snapToGrid w:val="0"/>
      <w:ind w:leftChars="600" w:left="600"/>
    </w:pPr>
    <w:rPr>
      <w:rFonts w:ascii="宋体" w:eastAsia="宋体" w:hAnsi="宋体" w:cs="Times New Roman"/>
      <w:snapToGrid w:val="0"/>
      <w:color w:val="000000" w:themeColor="text1"/>
      <w:kern w:val="0"/>
      <w:sz w:val="28"/>
    </w:rPr>
  </w:style>
  <w:style w:type="character" w:customStyle="1" w:styleId="10">
    <w:name w:val="标题 1 字符"/>
    <w:basedOn w:val="a0"/>
    <w:link w:val="1"/>
    <w:uiPriority w:val="9"/>
    <w:rsid w:val="00F4003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4003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4003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40035"/>
    <w:rPr>
      <w:rFonts w:cstheme="majorBidi"/>
      <w:color w:val="0F4761" w:themeColor="accent1" w:themeShade="BF"/>
      <w:sz w:val="28"/>
      <w:szCs w:val="28"/>
    </w:rPr>
  </w:style>
  <w:style w:type="character" w:customStyle="1" w:styleId="50">
    <w:name w:val="标题 5 字符"/>
    <w:basedOn w:val="a0"/>
    <w:link w:val="5"/>
    <w:uiPriority w:val="9"/>
    <w:semiHidden/>
    <w:rsid w:val="00F40035"/>
    <w:rPr>
      <w:rFonts w:cstheme="majorBidi"/>
      <w:color w:val="0F4761" w:themeColor="accent1" w:themeShade="BF"/>
      <w:sz w:val="24"/>
      <w:szCs w:val="24"/>
    </w:rPr>
  </w:style>
  <w:style w:type="character" w:customStyle="1" w:styleId="60">
    <w:name w:val="标题 6 字符"/>
    <w:basedOn w:val="a0"/>
    <w:link w:val="6"/>
    <w:uiPriority w:val="9"/>
    <w:semiHidden/>
    <w:rsid w:val="00F40035"/>
    <w:rPr>
      <w:rFonts w:cstheme="majorBidi"/>
      <w:b/>
      <w:bCs/>
      <w:color w:val="0F4761" w:themeColor="accent1" w:themeShade="BF"/>
    </w:rPr>
  </w:style>
  <w:style w:type="character" w:customStyle="1" w:styleId="70">
    <w:name w:val="标题 7 字符"/>
    <w:basedOn w:val="a0"/>
    <w:link w:val="7"/>
    <w:uiPriority w:val="9"/>
    <w:semiHidden/>
    <w:rsid w:val="00F40035"/>
    <w:rPr>
      <w:rFonts w:cstheme="majorBidi"/>
      <w:b/>
      <w:bCs/>
      <w:color w:val="595959" w:themeColor="text1" w:themeTint="A6"/>
    </w:rPr>
  </w:style>
  <w:style w:type="character" w:customStyle="1" w:styleId="80">
    <w:name w:val="标题 8 字符"/>
    <w:basedOn w:val="a0"/>
    <w:link w:val="8"/>
    <w:uiPriority w:val="9"/>
    <w:semiHidden/>
    <w:rsid w:val="00F40035"/>
    <w:rPr>
      <w:rFonts w:cstheme="majorBidi"/>
      <w:color w:val="595959" w:themeColor="text1" w:themeTint="A6"/>
    </w:rPr>
  </w:style>
  <w:style w:type="character" w:customStyle="1" w:styleId="90">
    <w:name w:val="标题 9 字符"/>
    <w:basedOn w:val="a0"/>
    <w:link w:val="9"/>
    <w:uiPriority w:val="9"/>
    <w:semiHidden/>
    <w:rsid w:val="00F40035"/>
    <w:rPr>
      <w:rFonts w:eastAsiaTheme="majorEastAsia" w:cstheme="majorBidi"/>
      <w:color w:val="595959" w:themeColor="text1" w:themeTint="A6"/>
    </w:rPr>
  </w:style>
  <w:style w:type="paragraph" w:styleId="a3">
    <w:name w:val="Title"/>
    <w:basedOn w:val="a"/>
    <w:next w:val="a"/>
    <w:link w:val="a4"/>
    <w:uiPriority w:val="10"/>
    <w:qFormat/>
    <w:rsid w:val="00F400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0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0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035"/>
    <w:pPr>
      <w:spacing w:before="160" w:after="160"/>
      <w:jc w:val="center"/>
    </w:pPr>
    <w:rPr>
      <w:i/>
      <w:iCs/>
      <w:color w:val="404040" w:themeColor="text1" w:themeTint="BF"/>
    </w:rPr>
  </w:style>
  <w:style w:type="character" w:customStyle="1" w:styleId="a8">
    <w:name w:val="引用 字符"/>
    <w:basedOn w:val="a0"/>
    <w:link w:val="a7"/>
    <w:uiPriority w:val="29"/>
    <w:rsid w:val="00F40035"/>
    <w:rPr>
      <w:i/>
      <w:iCs/>
      <w:color w:val="404040" w:themeColor="text1" w:themeTint="BF"/>
    </w:rPr>
  </w:style>
  <w:style w:type="paragraph" w:styleId="a9">
    <w:name w:val="List Paragraph"/>
    <w:basedOn w:val="a"/>
    <w:uiPriority w:val="34"/>
    <w:qFormat/>
    <w:rsid w:val="00F40035"/>
    <w:pPr>
      <w:ind w:left="720"/>
      <w:contextualSpacing/>
    </w:pPr>
  </w:style>
  <w:style w:type="character" w:styleId="aa">
    <w:name w:val="Intense Emphasis"/>
    <w:basedOn w:val="a0"/>
    <w:uiPriority w:val="21"/>
    <w:qFormat/>
    <w:rsid w:val="00F40035"/>
    <w:rPr>
      <w:i/>
      <w:iCs/>
      <w:color w:val="0F4761" w:themeColor="accent1" w:themeShade="BF"/>
    </w:rPr>
  </w:style>
  <w:style w:type="paragraph" w:styleId="ab">
    <w:name w:val="Intense Quote"/>
    <w:basedOn w:val="a"/>
    <w:next w:val="a"/>
    <w:link w:val="ac"/>
    <w:uiPriority w:val="30"/>
    <w:qFormat/>
    <w:rsid w:val="00F40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40035"/>
    <w:rPr>
      <w:i/>
      <w:iCs/>
      <w:color w:val="0F4761" w:themeColor="accent1" w:themeShade="BF"/>
    </w:rPr>
  </w:style>
  <w:style w:type="character" w:styleId="ad">
    <w:name w:val="Intense Reference"/>
    <w:basedOn w:val="a0"/>
    <w:uiPriority w:val="32"/>
    <w:qFormat/>
    <w:rsid w:val="00F40035"/>
    <w:rPr>
      <w:b/>
      <w:bCs/>
      <w:smallCaps/>
      <w:color w:val="0F4761" w:themeColor="accent1" w:themeShade="BF"/>
      <w:spacing w:val="5"/>
    </w:rPr>
  </w:style>
  <w:style w:type="character" w:styleId="ae">
    <w:name w:val="Hyperlink"/>
    <w:basedOn w:val="a0"/>
    <w:uiPriority w:val="99"/>
    <w:unhideWhenUsed/>
    <w:rsid w:val="00D73305"/>
    <w:rPr>
      <w:color w:val="467886" w:themeColor="hyperlink"/>
      <w:u w:val="single"/>
    </w:rPr>
  </w:style>
  <w:style w:type="character" w:styleId="af">
    <w:name w:val="Unresolved Mention"/>
    <w:basedOn w:val="a0"/>
    <w:uiPriority w:val="99"/>
    <w:semiHidden/>
    <w:unhideWhenUsed/>
    <w:rsid w:val="00D73305"/>
    <w:rPr>
      <w:color w:val="605E5C"/>
      <w:shd w:val="clear" w:color="auto" w:fill="E1DFDD"/>
    </w:rPr>
  </w:style>
  <w:style w:type="character" w:customStyle="1" w:styleId="17">
    <w:name w:val="17"/>
    <w:basedOn w:val="a0"/>
    <w:rsid w:val="00D73305"/>
    <w:rPr>
      <w:rFonts w:ascii="Times New Roman" w:hAnsi="Times New Roman" w:cs="Times New Roman" w:hint="default"/>
      <w:color w:val="000000"/>
      <w:sz w:val="28"/>
      <w:szCs w:val="28"/>
    </w:rPr>
  </w:style>
  <w:style w:type="character" w:customStyle="1" w:styleId="18">
    <w:name w:val="18"/>
    <w:basedOn w:val="a0"/>
    <w:rsid w:val="00D73305"/>
    <w:rPr>
      <w:rFonts w:ascii="Times New Roman" w:hAnsi="Times New Roman" w:cs="Times New Roman" w:hint="default"/>
      <w:color w:val="000000"/>
      <w:sz w:val="24"/>
      <w:szCs w:val="24"/>
    </w:rPr>
  </w:style>
  <w:style w:type="character" w:customStyle="1" w:styleId="16">
    <w:name w:val="16"/>
    <w:basedOn w:val="a0"/>
    <w:rsid w:val="00D73305"/>
    <w:rPr>
      <w:rFonts w:ascii="方正仿宋_GBK" w:eastAsia="方正仿宋_GBK" w:hAnsi="方正仿宋_GBK" w:cs="方正仿宋_GBK" w:hint="eastAsia"/>
      <w:color w:val="000000"/>
      <w:sz w:val="24"/>
      <w:szCs w:val="24"/>
    </w:rPr>
  </w:style>
  <w:style w:type="character" w:customStyle="1" w:styleId="19">
    <w:name w:val="19"/>
    <w:basedOn w:val="a0"/>
    <w:rsid w:val="00D73305"/>
    <w:rPr>
      <w:rFonts w:ascii="方正仿宋_GBK" w:eastAsia="方正仿宋_GBK" w:hAnsi="方正仿宋_GBK" w:cs="方正仿宋_GBK" w:hint="eastAsia"/>
      <w:color w:val="000000"/>
      <w:sz w:val="28"/>
      <w:szCs w:val="28"/>
    </w:rPr>
  </w:style>
  <w:style w:type="character" w:customStyle="1" w:styleId="200">
    <w:name w:val="20"/>
    <w:basedOn w:val="a0"/>
    <w:rsid w:val="00D73305"/>
    <w:rPr>
      <w:rFonts w:ascii="方正黑体_GBK" w:eastAsia="方正黑体_GBK" w:hAnsi="方正黑体_GBK" w:cs="方正黑体_GBK"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jsszfhcxjst.jiangsu.gov.cn/module/download/downfile.jsp?classid=0&amp;filename=17f31b5323124586805d2668af90ee54.docx" TargetMode="Externa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1732</Words>
  <Characters>1888</Characters>
  <Application>Microsoft Office Word</Application>
  <DocSecurity>0</DocSecurity>
  <Lines>314</Lines>
  <Paragraphs>226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潘光宏 pghansh</dc:creator>
  <cp:keywords/>
  <dc:description/>
  <cp:lastModifiedBy>潘光宏 pghansh</cp:lastModifiedBy>
  <cp:revision>3</cp:revision>
  <dcterms:created xsi:type="dcterms:W3CDTF">2025-09-30T14:01:00Z</dcterms:created>
  <dcterms:modified xsi:type="dcterms:W3CDTF">2025-09-30T14:07:00Z</dcterms:modified>
</cp:coreProperties>
</file>